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VIETNAM / FMCG CATEGORY INTELLIGENCE</w:t>
      </w:r>
    </w:p>
    <w:p>
      <w:pPr>
        <w:pStyle w:val="Title"/>
      </w:pPr>
      <w:r>
        <w:t>Worship &amp; Ritual Offerings:</w:t>
        <w:br/>
        <w:t>FMCG Categories, Brands &amp; Products</w:t>
      </w:r>
    </w:p>
    <w:p>
      <w:pPr/>
      <w:r>
        <w:t>A complete occasion- and region-led competitive landscape | October 2026</w:t>
      </w:r>
    </w:p>
    <w:p>
      <w:pPr>
        <w:spacing w:after="40"/>
        <w:jc w:val="center"/>
      </w:pPr>
      <w:r>
        <w:drawing>
          <wp:inline xmlns:a="http://schemas.openxmlformats.org/drawingml/2006/main" xmlns:pic="http://schemas.openxmlformats.org/drawingml/2006/picture">
            <wp:extent cx="6192000" cy="2444211"/>
            <wp:docPr id="1" name="Picture 1"/>
            <wp:cNvGraphicFramePr>
              <a:graphicFrameLocks noChangeAspect="1"/>
            </wp:cNvGraphicFramePr>
            <a:graphic>
              <a:graphicData uri="http://schemas.openxmlformats.org/drawingml/2006/picture">
                <pic:pic>
                  <pic:nvPicPr>
                    <pic:cNvPr id="0" name="hero.png"/>
                    <pic:cNvPicPr/>
                  </pic:nvPicPr>
                  <pic:blipFill>
                    <a:blip r:embed="rId11"/>
                    <a:stretch>
                      <a:fillRect/>
                    </a:stretch>
                  </pic:blipFill>
                  <pic:spPr>
                    <a:xfrm>
                      <a:off x="0" y="0"/>
                      <a:ext cx="6192000" cy="2444211"/>
                    </a:xfrm>
                    <a:prstGeom prst="rect"/>
                  </pic:spPr>
                </pic:pic>
              </a:graphicData>
            </a:graphic>
          </wp:inline>
        </w:drawing>
      </w:r>
    </w:p>
    <w:p>
      <w:pPr>
        <w:pStyle w:val="SmallText"/>
      </w:pPr>
      <w:r>
        <w:t>Original editorial schematic: ritual display, ceremonial meals, family sharing and seasonal gifting. Not a documentary photograph.</w:t>
      </w:r>
    </w:p>
    <w:p>
      <w:pPr/>
      <w:r>
        <w:t>Purpose: Map which food and beverage categories are connected to Vietnamese worship-related occasions, which brand portfolios compete in each, and how the associated consumption roles differ. This document retains the full brand/category, occasion, regional, and role frameworks of the research response.</w:t>
      </w:r>
    </w:p>
    <w:p>
      <w:pPr/>
      <w:r>
        <w:t>Evidence note: This is a documented competitive universe, not a statistically measured ranking of ritual-offering sales. “Leading” denotes broader Vietnamese category prominence when supported; example products and brands should not be interpreted as verified leadership specifically in ritual purchasing.</w:t>
      </w:r>
    </w:p>
    <w:p>
      <w:r>
        <w:br w:type="page"/>
      </w:r>
    </w:p>
    <w:p>
      <w:pPr>
        <w:pStyle w:val="Heading1"/>
      </w:pPr>
      <w:r>
        <w:t>Executive synthesis</w:t>
      </w:r>
    </w:p>
    <w:p>
      <w:pPr/>
      <w:r>
        <w:t>Worship-related purchasing in Vietnam is not a single “Buddhist offerings” category. It comprises Buddhist practices, ancestor veneration, monthly lunar observances, Tết, family death anniversaries, prosperity-related ceremonies and important annual festivals. For FMCG suppliers, the same product may be displayed on an altar, used to prepare a ceremonial meal, served afterwards to family, or purchased as a seasonal gift. These four roles create different competitive sets.</w:t>
      </w:r>
    </w:p>
    <w:p>
      <w:pPr>
        <w:spacing w:after="40"/>
        <w:jc w:val="center"/>
      </w:pPr>
      <w:r>
        <w:drawing>
          <wp:inline xmlns:a="http://schemas.openxmlformats.org/drawingml/2006/main" xmlns:pic="http://schemas.openxmlformats.org/drawingml/2006/picture">
            <wp:extent cx="6192000" cy="2036842"/>
            <wp:docPr id="2" name="Picture 2"/>
            <wp:cNvGraphicFramePr>
              <a:graphicFrameLocks noChangeAspect="1"/>
            </wp:cNvGraphicFramePr>
            <a:graphic>
              <a:graphicData uri="http://schemas.openxmlformats.org/drawingml/2006/picture">
                <pic:pic>
                  <pic:nvPicPr>
                    <pic:cNvPr id="0" name="roles.png"/>
                    <pic:cNvPicPr/>
                  </pic:nvPicPr>
                  <pic:blipFill>
                    <a:blip r:embed="rId12"/>
                    <a:stretch>
                      <a:fillRect/>
                    </a:stretch>
                  </pic:blipFill>
                  <pic:spPr>
                    <a:xfrm>
                      <a:off x="0" y="0"/>
                      <a:ext cx="6192000" cy="2036842"/>
                    </a:xfrm>
                    <a:prstGeom prst="rect"/>
                  </pic:spPr>
                </pic:pic>
              </a:graphicData>
            </a:graphic>
          </wp:inline>
        </w:drawing>
      </w:r>
    </w:p>
    <w:p>
      <w:pPr>
        <w:pStyle w:val="SmallText"/>
      </w:pPr>
      <w:r>
        <w:t>Figure 1. Four product roles. Illustrative product schematics; not actual product photography.</w:t>
      </w:r>
    </w:p>
    <w:p>
      <w:pPr>
        <w:pStyle w:val="Heading2"/>
      </w:pPr>
      <w:r>
        <w:t>The 12 FMCG categories with the most useful competitive relevance</w:t>
      </w:r>
    </w:p>
    <w:tbl>
      <w:tblPr>
        <w:tblW w:type="auto" w:w="0"/>
        <w:jc w:val="center"/>
        <w:tblLayout w:type="fixed"/>
        <w:tblLook w:firstColumn="1" w:firstRow="1" w:lastColumn="0" w:lastRow="0" w:noHBand="0" w:noVBand="1" w:val="04A0"/>
      </w:tblPr>
      <w:tblGrid>
        <w:gridCol w:w="1984"/>
        <w:gridCol w:w="3402"/>
        <w:gridCol w:w="4252"/>
      </w:tblGrid>
      <w:tr>
        <w:trPr>
          <w:tblHeader w:val="true"/>
        </w:trPr>
        <w:tc>
          <w:tcPr>
            <w:tcW w:type="dxa" w:w="1984"/>
            <w:shd w:fill="153342"/>
            <w:vAlign w:val="center"/>
          </w:tcPr>
          <w:p>
            <w:pPr>
              <w:spacing w:after="40"/>
            </w:pPr>
            <w:r>
              <w:rPr>
                <w:b/>
                <w:color w:val="FFFFFF"/>
                <w:sz w:val="14"/>
              </w:rPr>
              <w:t>Category</w:t>
            </w:r>
          </w:p>
        </w:tc>
        <w:tc>
          <w:tcPr>
            <w:tcW w:type="dxa" w:w="3402"/>
            <w:shd w:fill="153342"/>
            <w:vAlign w:val="center"/>
          </w:tcPr>
          <w:p>
            <w:pPr>
              <w:spacing w:after="40"/>
            </w:pPr>
            <w:r>
              <w:rPr>
                <w:b/>
                <w:color w:val="FFFFFF"/>
                <w:sz w:val="14"/>
              </w:rPr>
              <w:t>Indicative role / occasions</w:t>
            </w:r>
          </w:p>
        </w:tc>
        <w:tc>
          <w:tcPr>
            <w:tcW w:type="dxa" w:w="4252"/>
            <w:shd w:fill="153342"/>
            <w:vAlign w:val="center"/>
          </w:tcPr>
          <w:p>
            <w:pPr>
              <w:spacing w:after="40"/>
            </w:pPr>
            <w:r>
              <w:rPr>
                <w:b/>
                <w:color w:val="FFFFFF"/>
                <w:sz w:val="14"/>
              </w:rPr>
              <w:t>Interpretation</w:t>
            </w:r>
          </w:p>
        </w:tc>
      </w:tr>
      <w:tr>
        <w:tc>
          <w:tcPr>
            <w:tcW w:type="dxa" w:w="1984"/>
            <w:vAlign w:val="top"/>
            <w:shd w:fill="F1F6F5"/>
          </w:tcPr>
          <w:p>
            <w:pPr>
              <w:spacing w:after="30" w:before="30" w:line="247" w:lineRule="auto"/>
            </w:pPr>
            <w:r>
              <w:rPr>
                <w:color w:val="20313A"/>
                <w:sz w:val="14"/>
              </w:rPr>
              <w:t>Soft drinks</w:t>
            </w:r>
          </w:p>
        </w:tc>
        <w:tc>
          <w:tcPr>
            <w:tcW w:type="dxa" w:w="3402"/>
            <w:vAlign w:val="top"/>
            <w:shd w:fill="F1F6F5"/>
          </w:tcPr>
          <w:p>
            <w:pPr>
              <w:spacing w:after="30" w:before="30" w:line="247" w:lineRule="auto"/>
            </w:pPr>
            <w:r>
              <w:rPr>
                <w:color w:val="20313A"/>
                <w:sz w:val="14"/>
              </w:rPr>
              <w:t>Tết, ancestor rituals, family feasts</w:t>
            </w:r>
          </w:p>
        </w:tc>
        <w:tc>
          <w:tcPr>
            <w:tcW w:type="dxa" w:w="4252"/>
            <w:vAlign w:val="top"/>
            <w:shd w:fill="F1F6F5"/>
          </w:tcPr>
          <w:p>
            <w:pPr>
              <w:spacing w:after="30" w:before="30" w:line="247" w:lineRule="auto"/>
            </w:pPr>
            <w:r>
              <w:rPr>
                <w:color w:val="20313A"/>
                <w:sz w:val="14"/>
              </w:rPr>
              <w:t>Branded display in some homes; broad hospitality relevance</w:t>
            </w:r>
          </w:p>
        </w:tc>
      </w:tr>
      <w:tr>
        <w:tc>
          <w:tcPr>
            <w:tcW w:type="dxa" w:w="1984"/>
            <w:vAlign w:val="top"/>
          </w:tcPr>
          <w:p>
            <w:pPr>
              <w:spacing w:after="30" w:before="30" w:line="247" w:lineRule="auto"/>
            </w:pPr>
            <w:r>
              <w:rPr>
                <w:color w:val="20313A"/>
                <w:sz w:val="14"/>
              </w:rPr>
              <w:t>Biscuits / confectionery</w:t>
            </w:r>
          </w:p>
        </w:tc>
        <w:tc>
          <w:tcPr>
            <w:tcW w:type="dxa" w:w="3402"/>
            <w:vAlign w:val="top"/>
          </w:tcPr>
          <w:p>
            <w:pPr>
              <w:spacing w:after="30" w:before="30" w:line="247" w:lineRule="auto"/>
            </w:pPr>
            <w:r>
              <w:rPr>
                <w:color w:val="20313A"/>
                <w:sz w:val="14"/>
              </w:rPr>
              <w:t>Tết, periodic offerings, family sharing</w:t>
            </w:r>
          </w:p>
        </w:tc>
        <w:tc>
          <w:tcPr>
            <w:tcW w:type="dxa" w:w="4252"/>
            <w:vAlign w:val="top"/>
          </w:tcPr>
          <w:p>
            <w:pPr>
              <w:spacing w:after="30" w:before="30" w:line="247" w:lineRule="auto"/>
            </w:pPr>
            <w:r>
              <w:rPr>
                <w:color w:val="20313A"/>
                <w:sz w:val="14"/>
              </w:rPr>
              <w:t>Strong packaged brand universe</w:t>
            </w:r>
          </w:p>
        </w:tc>
      </w:tr>
      <w:tr>
        <w:tc>
          <w:tcPr>
            <w:tcW w:type="dxa" w:w="1984"/>
            <w:vAlign w:val="top"/>
            <w:shd w:fill="F1F6F5"/>
          </w:tcPr>
          <w:p>
            <w:pPr>
              <w:spacing w:after="30" w:before="30" w:line="247" w:lineRule="auto"/>
            </w:pPr>
            <w:r>
              <w:rPr>
                <w:color w:val="20313A"/>
                <w:sz w:val="14"/>
              </w:rPr>
              <w:t>Mooncakes / traditional cakes</w:t>
            </w:r>
          </w:p>
        </w:tc>
        <w:tc>
          <w:tcPr>
            <w:tcW w:type="dxa" w:w="3402"/>
            <w:vAlign w:val="top"/>
            <w:shd w:fill="F1F6F5"/>
          </w:tcPr>
          <w:p>
            <w:pPr>
              <w:spacing w:after="30" w:before="30" w:line="247" w:lineRule="auto"/>
            </w:pPr>
            <w:r>
              <w:rPr>
                <w:color w:val="20313A"/>
                <w:sz w:val="14"/>
              </w:rPr>
              <w:t>Trung Thu, Tết, ancestor offerings</w:t>
            </w:r>
          </w:p>
        </w:tc>
        <w:tc>
          <w:tcPr>
            <w:tcW w:type="dxa" w:w="4252"/>
            <w:vAlign w:val="top"/>
            <w:shd w:fill="F1F6F5"/>
          </w:tcPr>
          <w:p>
            <w:pPr>
              <w:spacing w:after="30" w:before="30" w:line="247" w:lineRule="auto"/>
            </w:pPr>
            <w:r>
              <w:rPr>
                <w:color w:val="20313A"/>
                <w:sz w:val="14"/>
              </w:rPr>
              <w:t>Occasion-defined product formats</w:t>
            </w:r>
          </w:p>
        </w:tc>
      </w:tr>
      <w:tr>
        <w:tc>
          <w:tcPr>
            <w:tcW w:type="dxa" w:w="1984"/>
            <w:vAlign w:val="top"/>
          </w:tcPr>
          <w:p>
            <w:pPr>
              <w:spacing w:after="30" w:before="30" w:line="247" w:lineRule="auto"/>
            </w:pPr>
            <w:r>
              <w:rPr>
                <w:color w:val="20313A"/>
                <w:sz w:val="14"/>
              </w:rPr>
              <w:t>Tea / coffee</w:t>
            </w:r>
          </w:p>
        </w:tc>
        <w:tc>
          <w:tcPr>
            <w:tcW w:type="dxa" w:w="3402"/>
            <w:vAlign w:val="top"/>
          </w:tcPr>
          <w:p>
            <w:pPr>
              <w:spacing w:after="30" w:before="30" w:line="247" w:lineRule="auto"/>
            </w:pPr>
            <w:r>
              <w:rPr>
                <w:color w:val="20313A"/>
                <w:sz w:val="14"/>
              </w:rPr>
              <w:t>Monthly offerings, ancestor remembrance, guests</w:t>
            </w:r>
          </w:p>
        </w:tc>
        <w:tc>
          <w:tcPr>
            <w:tcW w:type="dxa" w:w="4252"/>
            <w:vAlign w:val="top"/>
          </w:tcPr>
          <w:p>
            <w:pPr>
              <w:spacing w:after="30" w:before="30" w:line="247" w:lineRule="auto"/>
            </w:pPr>
            <w:r>
              <w:rPr>
                <w:color w:val="20313A"/>
                <w:sz w:val="14"/>
              </w:rPr>
              <w:t>Tea is widespread; coffee appears in some contemporary settings</w:t>
            </w:r>
          </w:p>
        </w:tc>
      </w:tr>
      <w:tr>
        <w:tc>
          <w:tcPr>
            <w:tcW w:type="dxa" w:w="1984"/>
            <w:vAlign w:val="top"/>
            <w:shd w:fill="F1F6F5"/>
          </w:tcPr>
          <w:p>
            <w:pPr>
              <w:spacing w:after="30" w:before="30" w:line="247" w:lineRule="auto"/>
            </w:pPr>
            <w:r>
              <w:rPr>
                <w:color w:val="20313A"/>
                <w:sz w:val="14"/>
              </w:rPr>
              <w:t>Bottled water</w:t>
            </w:r>
          </w:p>
        </w:tc>
        <w:tc>
          <w:tcPr>
            <w:tcW w:type="dxa" w:w="3402"/>
            <w:vAlign w:val="top"/>
            <w:shd w:fill="F1F6F5"/>
          </w:tcPr>
          <w:p>
            <w:pPr>
              <w:spacing w:after="30" w:before="30" w:line="247" w:lineRule="auto"/>
            </w:pPr>
            <w:r>
              <w:rPr>
                <w:color w:val="20313A"/>
                <w:sz w:val="14"/>
              </w:rPr>
              <w:t>Routine altar care, visits, monthly rituals</w:t>
            </w:r>
          </w:p>
        </w:tc>
        <w:tc>
          <w:tcPr>
            <w:tcW w:type="dxa" w:w="4252"/>
            <w:vAlign w:val="top"/>
            <w:shd w:fill="F1F6F5"/>
          </w:tcPr>
          <w:p>
            <w:pPr>
              <w:spacing w:after="30" w:before="30" w:line="247" w:lineRule="auto"/>
            </w:pPr>
            <w:r>
              <w:rPr>
                <w:color w:val="20313A"/>
                <w:sz w:val="14"/>
              </w:rPr>
              <w:t>Cross-occasion replenishment relevance</w:t>
            </w:r>
          </w:p>
        </w:tc>
      </w:tr>
      <w:tr>
        <w:tc>
          <w:tcPr>
            <w:tcW w:type="dxa" w:w="1984"/>
            <w:vAlign w:val="top"/>
          </w:tcPr>
          <w:p>
            <w:pPr>
              <w:spacing w:after="30" w:before="30" w:line="247" w:lineRule="auto"/>
            </w:pPr>
            <w:r>
              <w:rPr>
                <w:color w:val="20313A"/>
                <w:sz w:val="14"/>
              </w:rPr>
              <w:t>Prepared foods / meat</w:t>
            </w:r>
          </w:p>
        </w:tc>
        <w:tc>
          <w:tcPr>
            <w:tcW w:type="dxa" w:w="3402"/>
            <w:vAlign w:val="top"/>
          </w:tcPr>
          <w:p>
            <w:pPr>
              <w:spacing w:after="30" w:before="30" w:line="247" w:lineRule="auto"/>
            </w:pPr>
            <w:r>
              <w:rPr>
                <w:color w:val="20313A"/>
                <w:sz w:val="14"/>
              </w:rPr>
              <w:t>Tết, giỗ, prosperity ceremonies</w:t>
            </w:r>
          </w:p>
        </w:tc>
        <w:tc>
          <w:tcPr>
            <w:tcW w:type="dxa" w:w="4252"/>
            <w:vAlign w:val="top"/>
          </w:tcPr>
          <w:p>
            <w:pPr>
              <w:spacing w:after="30" w:before="30" w:line="247" w:lineRule="auto"/>
            </w:pPr>
            <w:r>
              <w:rPr>
                <w:color w:val="20313A"/>
                <w:sz w:val="14"/>
              </w:rPr>
              <w:t>Ingredients and ceremonial meals</w:t>
            </w:r>
          </w:p>
        </w:tc>
      </w:tr>
      <w:tr>
        <w:tc>
          <w:tcPr>
            <w:tcW w:type="dxa" w:w="1984"/>
            <w:vAlign w:val="top"/>
            <w:shd w:fill="F1F6F5"/>
          </w:tcPr>
          <w:p>
            <w:pPr>
              <w:spacing w:after="30" w:before="30" w:line="247" w:lineRule="auto"/>
            </w:pPr>
            <w:r>
              <w:rPr>
                <w:color w:val="20313A"/>
                <w:sz w:val="14"/>
              </w:rPr>
              <w:t>Vegetarian foods</w:t>
            </w:r>
          </w:p>
        </w:tc>
        <w:tc>
          <w:tcPr>
            <w:tcW w:type="dxa" w:w="3402"/>
            <w:vAlign w:val="top"/>
            <w:shd w:fill="F1F6F5"/>
          </w:tcPr>
          <w:p>
            <w:pPr>
              <w:spacing w:after="30" w:before="30" w:line="247" w:lineRule="auto"/>
            </w:pPr>
            <w:r>
              <w:rPr>
                <w:color w:val="20313A"/>
                <w:sz w:val="14"/>
              </w:rPr>
              <w:t>Rằm, Vu Lan, Buddhist eating</w:t>
            </w:r>
          </w:p>
        </w:tc>
        <w:tc>
          <w:tcPr>
            <w:tcW w:type="dxa" w:w="4252"/>
            <w:vAlign w:val="top"/>
            <w:shd w:fill="F1F6F5"/>
          </w:tcPr>
          <w:p>
            <w:pPr>
              <w:spacing w:after="30" w:before="30" w:line="247" w:lineRule="auto"/>
            </w:pPr>
            <w:r>
              <w:rPr>
                <w:color w:val="20313A"/>
                <w:sz w:val="14"/>
              </w:rPr>
              <w:t>Prepared offering trays versus everyday vegetarian foods</w:t>
            </w:r>
          </w:p>
        </w:tc>
      </w:tr>
      <w:tr>
        <w:tc>
          <w:tcPr>
            <w:tcW w:type="dxa" w:w="1984"/>
            <w:vAlign w:val="top"/>
          </w:tcPr>
          <w:p>
            <w:pPr>
              <w:spacing w:after="30" w:before="30" w:line="247" w:lineRule="auto"/>
            </w:pPr>
            <w:r>
              <w:rPr>
                <w:color w:val="20313A"/>
                <w:sz w:val="14"/>
              </w:rPr>
              <w:t>Beer</w:t>
            </w:r>
          </w:p>
        </w:tc>
        <w:tc>
          <w:tcPr>
            <w:tcW w:type="dxa" w:w="3402"/>
            <w:vAlign w:val="top"/>
          </w:tcPr>
          <w:p>
            <w:pPr>
              <w:spacing w:after="30" w:before="30" w:line="247" w:lineRule="auto"/>
            </w:pPr>
            <w:r>
              <w:rPr>
                <w:color w:val="20313A"/>
                <w:sz w:val="14"/>
              </w:rPr>
              <w:t>Tết, giỗ and some folk/ancestor settings</w:t>
            </w:r>
          </w:p>
        </w:tc>
        <w:tc>
          <w:tcPr>
            <w:tcW w:type="dxa" w:w="4252"/>
            <w:vAlign w:val="top"/>
          </w:tcPr>
          <w:p>
            <w:pPr>
              <w:spacing w:after="30" w:before="30" w:line="247" w:lineRule="auto"/>
            </w:pPr>
            <w:r>
              <w:rPr>
                <w:color w:val="20313A"/>
                <w:sz w:val="14"/>
              </w:rPr>
              <w:t>Primarily feast/hosting; not general Buddhist Buddha offerings</w:t>
            </w:r>
          </w:p>
        </w:tc>
      </w:tr>
      <w:tr>
        <w:tc>
          <w:tcPr>
            <w:tcW w:type="dxa" w:w="1984"/>
            <w:vAlign w:val="top"/>
            <w:shd w:fill="F1F6F5"/>
          </w:tcPr>
          <w:p>
            <w:pPr>
              <w:spacing w:after="30" w:before="30" w:line="247" w:lineRule="auto"/>
            </w:pPr>
            <w:r>
              <w:rPr>
                <w:color w:val="20313A"/>
                <w:sz w:val="14"/>
              </w:rPr>
              <w:t>Dried fruit / nuts</w:t>
            </w:r>
          </w:p>
        </w:tc>
        <w:tc>
          <w:tcPr>
            <w:tcW w:type="dxa" w:w="3402"/>
            <w:vAlign w:val="top"/>
            <w:shd w:fill="F1F6F5"/>
          </w:tcPr>
          <w:p>
            <w:pPr>
              <w:spacing w:after="30" w:before="30" w:line="247" w:lineRule="auto"/>
            </w:pPr>
            <w:r>
              <w:rPr>
                <w:color w:val="20313A"/>
                <w:sz w:val="14"/>
              </w:rPr>
              <w:t>Tết, gifts, hospitality</w:t>
            </w:r>
          </w:p>
        </w:tc>
        <w:tc>
          <w:tcPr>
            <w:tcW w:type="dxa" w:w="4252"/>
            <w:vAlign w:val="top"/>
            <w:shd w:fill="F1F6F5"/>
          </w:tcPr>
          <w:p>
            <w:pPr>
              <w:spacing w:after="30" w:before="30" w:line="247" w:lineRule="auto"/>
            </w:pPr>
            <w:r>
              <w:rPr>
                <w:color w:val="20313A"/>
                <w:sz w:val="14"/>
              </w:rPr>
              <w:t>May support display but evidence is more gifting/consumption-led</w:t>
            </w:r>
          </w:p>
        </w:tc>
      </w:tr>
      <w:tr>
        <w:tc>
          <w:tcPr>
            <w:tcW w:type="dxa" w:w="1984"/>
            <w:vAlign w:val="top"/>
          </w:tcPr>
          <w:p>
            <w:pPr>
              <w:spacing w:after="30" w:before="30" w:line="247" w:lineRule="auto"/>
            </w:pPr>
            <w:r>
              <w:rPr>
                <w:color w:val="20313A"/>
                <w:sz w:val="14"/>
              </w:rPr>
              <w:t>Packaged fruit</w:t>
            </w:r>
          </w:p>
        </w:tc>
        <w:tc>
          <w:tcPr>
            <w:tcW w:type="dxa" w:w="3402"/>
            <w:vAlign w:val="top"/>
          </w:tcPr>
          <w:p>
            <w:pPr>
              <w:spacing w:after="30" w:before="30" w:line="247" w:lineRule="auto"/>
            </w:pPr>
            <w:r>
              <w:rPr>
                <w:color w:val="20313A"/>
                <w:sz w:val="14"/>
              </w:rPr>
              <w:t>Tết, monthly altars, ancestral rituals</w:t>
            </w:r>
          </w:p>
        </w:tc>
        <w:tc>
          <w:tcPr>
            <w:tcW w:type="dxa" w:w="4252"/>
            <w:vAlign w:val="top"/>
          </w:tcPr>
          <w:p>
            <w:pPr>
              <w:spacing w:after="30" w:before="30" w:line="247" w:lineRule="auto"/>
            </w:pPr>
            <w:r>
              <w:rPr>
                <w:color w:val="20313A"/>
                <w:sz w:val="14"/>
              </w:rPr>
              <w:t>Often local and unbranded</w:t>
            </w:r>
          </w:p>
        </w:tc>
      </w:tr>
      <w:tr>
        <w:tc>
          <w:tcPr>
            <w:tcW w:type="dxa" w:w="1984"/>
            <w:vAlign w:val="top"/>
            <w:shd w:fill="F1F6F5"/>
          </w:tcPr>
          <w:p>
            <w:pPr>
              <w:spacing w:after="30" w:before="30" w:line="247" w:lineRule="auto"/>
            </w:pPr>
            <w:r>
              <w:rPr>
                <w:color w:val="20313A"/>
                <w:sz w:val="14"/>
              </w:rPr>
              <w:t>Cooking staples</w:t>
            </w:r>
          </w:p>
        </w:tc>
        <w:tc>
          <w:tcPr>
            <w:tcW w:type="dxa" w:w="3402"/>
            <w:vAlign w:val="top"/>
            <w:shd w:fill="F1F6F5"/>
          </w:tcPr>
          <w:p>
            <w:pPr>
              <w:spacing w:after="30" w:before="30" w:line="247" w:lineRule="auto"/>
            </w:pPr>
            <w:r>
              <w:rPr>
                <w:color w:val="20313A"/>
                <w:sz w:val="14"/>
              </w:rPr>
              <w:t>Ceremonial food preparation</w:t>
            </w:r>
          </w:p>
        </w:tc>
        <w:tc>
          <w:tcPr>
            <w:tcW w:type="dxa" w:w="4252"/>
            <w:vAlign w:val="top"/>
            <w:shd w:fill="F1F6F5"/>
          </w:tcPr>
          <w:p>
            <w:pPr>
              <w:spacing w:after="30" w:before="30" w:line="247" w:lineRule="auto"/>
            </w:pPr>
            <w:r>
              <w:rPr>
                <w:color w:val="20313A"/>
                <w:sz w:val="14"/>
              </w:rPr>
              <w:t>Indirect category role; not displayed as offerings</w:t>
            </w:r>
          </w:p>
        </w:tc>
      </w:tr>
      <w:tr>
        <w:tc>
          <w:tcPr>
            <w:tcW w:type="dxa" w:w="1984"/>
            <w:vAlign w:val="top"/>
          </w:tcPr>
          <w:p>
            <w:pPr>
              <w:spacing w:after="30" w:before="30" w:line="247" w:lineRule="auto"/>
            </w:pPr>
            <w:r>
              <w:rPr>
                <w:color w:val="20313A"/>
                <w:sz w:val="14"/>
              </w:rPr>
              <w:t>Dairy / nutrition drinks</w:t>
            </w:r>
          </w:p>
        </w:tc>
        <w:tc>
          <w:tcPr>
            <w:tcW w:type="dxa" w:w="3402"/>
            <w:vAlign w:val="top"/>
          </w:tcPr>
          <w:p>
            <w:pPr>
              <w:spacing w:after="30" w:before="30" w:line="247" w:lineRule="auto"/>
            </w:pPr>
            <w:r>
              <w:rPr>
                <w:color w:val="20313A"/>
                <w:sz w:val="14"/>
              </w:rPr>
              <w:t>Family consumption around celebrations</w:t>
            </w:r>
          </w:p>
        </w:tc>
        <w:tc>
          <w:tcPr>
            <w:tcW w:type="dxa" w:w="4252"/>
            <w:vAlign w:val="top"/>
          </w:tcPr>
          <w:p>
            <w:pPr>
              <w:spacing w:after="30" w:before="30" w:line="247" w:lineRule="auto"/>
            </w:pPr>
            <w:r>
              <w:rPr>
                <w:color w:val="20313A"/>
                <w:sz w:val="14"/>
              </w:rPr>
              <w:t>Peripheral to direct worship</w:t>
            </w:r>
          </w:p>
        </w:tc>
      </w:tr>
    </w:tbl>
    <w:p>
      <w:pPr>
        <w:spacing w:after="0"/>
      </w:pPr>
    </w:p>
    <w:p>
      <w:pPr>
        <w:pStyle w:val="Heading1"/>
      </w:pPr>
      <w:r>
        <w:t>1. Evidence: FMCG products actually appear in ceremonies</w:t>
      </w:r>
    </w:p>
    <w:p>
      <w:pPr/>
      <w:r>
        <w:t>Two photographed 2026 settings are especially useful. A VietnamPlus Tết ancestor altar photograph visibly includes red Coca-Cola cans alongside fruit and other products. A Vietnam Beer–Alcohol–Beverage Association report shows an altar arrangement containing branded beverages and packaged food, including Fanta, Trúc Bạch beer, Saigon Chill beer and a G7 coffee box. These images demonstrate real placement, but do not reveal national penetration or brand share.</w:t>
      </w:r>
    </w:p>
    <w:tbl>
      <w:tblPr>
        <w:tblW w:type="auto" w:w="0"/>
        <w:jc w:val="center"/>
        <w:tblLayout w:type="fixed"/>
        <w:tblLook w:firstColumn="1" w:firstRow="1" w:lastColumn="0" w:lastRow="0" w:noHBand="0" w:noVBand="1" w:val="04A0"/>
      </w:tblPr>
      <w:tblGrid>
        <w:gridCol w:w="2551"/>
        <w:gridCol w:w="3402"/>
        <w:gridCol w:w="3685"/>
      </w:tblGrid>
      <w:tr>
        <w:trPr>
          <w:tblHeader w:val="true"/>
        </w:trPr>
        <w:tc>
          <w:tcPr>
            <w:tcW w:type="dxa" w:w="2551"/>
            <w:shd w:fill="153342"/>
            <w:vAlign w:val="center"/>
          </w:tcPr>
          <w:p>
            <w:pPr>
              <w:spacing w:after="40"/>
            </w:pPr>
            <w:r>
              <w:rPr>
                <w:b/>
                <w:color w:val="FFFFFF"/>
                <w:sz w:val="15"/>
              </w:rPr>
              <w:t>Documented setting</w:t>
            </w:r>
          </w:p>
        </w:tc>
        <w:tc>
          <w:tcPr>
            <w:tcW w:type="dxa" w:w="3402"/>
            <w:shd w:fill="153342"/>
            <w:vAlign w:val="center"/>
          </w:tcPr>
          <w:p>
            <w:pPr>
              <w:spacing w:after="40"/>
            </w:pPr>
            <w:r>
              <w:rPr>
                <w:b/>
                <w:color w:val="FFFFFF"/>
                <w:sz w:val="15"/>
              </w:rPr>
              <w:t>Observed product types</w:t>
            </w:r>
          </w:p>
        </w:tc>
        <w:tc>
          <w:tcPr>
            <w:tcW w:type="dxa" w:w="3685"/>
            <w:shd w:fill="153342"/>
            <w:vAlign w:val="center"/>
          </w:tcPr>
          <w:p>
            <w:pPr>
              <w:spacing w:after="40"/>
            </w:pPr>
            <w:r>
              <w:rPr>
                <w:b/>
                <w:color w:val="FFFFFF"/>
                <w:sz w:val="15"/>
              </w:rPr>
              <w:t>What can be concluded</w:t>
            </w:r>
          </w:p>
        </w:tc>
      </w:tr>
      <w:tr>
        <w:tc>
          <w:tcPr>
            <w:tcW w:type="dxa" w:w="2551"/>
            <w:vAlign w:val="top"/>
            <w:shd w:fill="F1F6F5"/>
          </w:tcPr>
          <w:p>
            <w:pPr>
              <w:spacing w:after="30" w:before="30" w:line="247" w:lineRule="auto"/>
            </w:pPr>
            <w:r>
              <w:rPr>
                <w:color w:val="20313A"/>
                <w:sz w:val="15"/>
              </w:rPr>
              <w:t>VietnamPlus, ancestor altar, Tết 2026</w:t>
            </w:r>
          </w:p>
        </w:tc>
        <w:tc>
          <w:tcPr>
            <w:tcW w:type="dxa" w:w="3402"/>
            <w:vAlign w:val="top"/>
            <w:shd w:fill="F1F6F5"/>
          </w:tcPr>
          <w:p>
            <w:pPr>
              <w:spacing w:after="30" w:before="30" w:line="247" w:lineRule="auto"/>
            </w:pPr>
            <w:r>
              <w:rPr>
                <w:color w:val="20313A"/>
                <w:sz w:val="15"/>
              </w:rPr>
              <w:t>Coca-Cola cans and other packaged goods near fruit and ceramic altar ware</w:t>
            </w:r>
          </w:p>
        </w:tc>
        <w:tc>
          <w:tcPr>
            <w:tcW w:type="dxa" w:w="3685"/>
            <w:vAlign w:val="top"/>
            <w:shd w:fill="F1F6F5"/>
          </w:tcPr>
          <w:p>
            <w:pPr>
              <w:spacing w:after="30" w:before="30" w:line="247" w:lineRule="auto"/>
            </w:pPr>
            <w:r>
              <w:rPr>
                <w:color w:val="20313A"/>
                <w:sz w:val="15"/>
              </w:rPr>
              <w:t>Direct evidence of branded soft drinks in one household display</w:t>
            </w:r>
          </w:p>
        </w:tc>
      </w:tr>
      <w:tr>
        <w:tc>
          <w:tcPr>
            <w:tcW w:type="dxa" w:w="2551"/>
            <w:vAlign w:val="top"/>
          </w:tcPr>
          <w:p>
            <w:pPr>
              <w:spacing w:after="30" w:before="30" w:line="247" w:lineRule="auto"/>
            </w:pPr>
            <w:r>
              <w:rPr>
                <w:color w:val="20313A"/>
                <w:sz w:val="15"/>
              </w:rPr>
              <w:t>Vietnam beverage association, Tết 2026</w:t>
            </w:r>
          </w:p>
        </w:tc>
        <w:tc>
          <w:tcPr>
            <w:tcW w:type="dxa" w:w="3402"/>
            <w:vAlign w:val="top"/>
          </w:tcPr>
          <w:p>
            <w:pPr>
              <w:spacing w:after="30" w:before="30" w:line="247" w:lineRule="auto"/>
            </w:pPr>
            <w:r>
              <w:rPr>
                <w:color w:val="20313A"/>
                <w:sz w:val="15"/>
              </w:rPr>
              <w:t>Fanta, beer cans, G7 box, packaged biscuits/cakes</w:t>
            </w:r>
          </w:p>
        </w:tc>
        <w:tc>
          <w:tcPr>
            <w:tcW w:type="dxa" w:w="3685"/>
            <w:vAlign w:val="top"/>
          </w:tcPr>
          <w:p>
            <w:pPr>
              <w:spacing w:after="30" w:before="30" w:line="247" w:lineRule="auto"/>
            </w:pPr>
            <w:r>
              <w:rPr>
                <w:color w:val="20313A"/>
                <w:sz w:val="15"/>
              </w:rPr>
              <w:t>Direct evidence of multiple modern FMCG categories in one ceremonial context</w:t>
            </w:r>
          </w:p>
        </w:tc>
      </w:tr>
      <w:tr>
        <w:tc>
          <w:tcPr>
            <w:tcW w:type="dxa" w:w="2551"/>
            <w:vAlign w:val="top"/>
            <w:shd w:fill="F1F6F5"/>
          </w:tcPr>
          <w:p>
            <w:pPr>
              <w:spacing w:after="30" w:before="30" w:line="247" w:lineRule="auto"/>
            </w:pPr>
            <w:r>
              <w:rPr>
                <w:color w:val="20313A"/>
                <w:sz w:val="15"/>
              </w:rPr>
              <w:t>Saigon Co.op, Tết 2025</w:t>
            </w:r>
          </w:p>
        </w:tc>
        <w:tc>
          <w:tcPr>
            <w:tcW w:type="dxa" w:w="3402"/>
            <w:vAlign w:val="top"/>
            <w:shd w:fill="F1F6F5"/>
          </w:tcPr>
          <w:p>
            <w:pPr>
              <w:spacing w:after="30" w:before="30" w:line="247" w:lineRule="auto"/>
            </w:pPr>
            <w:r>
              <w:rPr>
                <w:color w:val="20313A"/>
                <w:sz w:val="15"/>
              </w:rPr>
              <w:t>Ready-prepared ancestor meals, vegetarian versions, pre-prepared fresh food; tam sên</w:t>
            </w:r>
          </w:p>
        </w:tc>
        <w:tc>
          <w:tcPr>
            <w:tcW w:type="dxa" w:w="3685"/>
            <w:vAlign w:val="top"/>
            <w:shd w:fill="F1F6F5"/>
          </w:tcPr>
          <w:p>
            <w:pPr>
              <w:spacing w:after="30" w:before="30" w:line="247" w:lineRule="auto"/>
            </w:pPr>
            <w:r>
              <w:rPr>
                <w:color w:val="20313A"/>
                <w:sz w:val="15"/>
              </w:rPr>
              <w:t>Direct retailer commercialization of occasion-specific offerings</w:t>
            </w:r>
          </w:p>
        </w:tc>
      </w:tr>
      <w:tr>
        <w:tc>
          <w:tcPr>
            <w:tcW w:type="dxa" w:w="2551"/>
            <w:vAlign w:val="top"/>
          </w:tcPr>
          <w:p>
            <w:pPr>
              <w:spacing w:after="30" w:before="30" w:line="247" w:lineRule="auto"/>
            </w:pPr>
            <w:r>
              <w:rPr>
                <w:color w:val="20313A"/>
                <w:sz w:val="15"/>
              </w:rPr>
              <w:t>VietnamPlus, Vu Lan 2026</w:t>
            </w:r>
          </w:p>
        </w:tc>
        <w:tc>
          <w:tcPr>
            <w:tcW w:type="dxa" w:w="3402"/>
            <w:vAlign w:val="top"/>
          </w:tcPr>
          <w:p>
            <w:pPr>
              <w:spacing w:after="30" w:before="30" w:line="247" w:lineRule="auto"/>
            </w:pPr>
            <w:r>
              <w:rPr>
                <w:color w:val="20313A"/>
                <w:sz w:val="15"/>
              </w:rPr>
              <w:t>Rising supplies of fruit, flowers, sticky rice, sweets, vegetarian food and ready-made offerings in Hanoi</w:t>
            </w:r>
          </w:p>
        </w:tc>
        <w:tc>
          <w:tcPr>
            <w:tcW w:type="dxa" w:w="3685"/>
            <w:vAlign w:val="top"/>
          </w:tcPr>
          <w:p>
            <w:pPr>
              <w:spacing w:after="30" w:before="30" w:line="247" w:lineRule="auto"/>
            </w:pPr>
            <w:r>
              <w:rPr>
                <w:color w:val="20313A"/>
                <w:sz w:val="15"/>
              </w:rPr>
              <w:t>Evidence of active specialist seasonal demand, not quantified branded share</w:t>
            </w:r>
          </w:p>
        </w:tc>
      </w:tr>
    </w:tbl>
    <w:p>
      <w:pPr>
        <w:spacing w:after="0"/>
      </w:pPr>
    </w:p>
    <w:p>
      <w:pPr>
        <w:pStyle w:val="SmallText"/>
      </w:pPr>
      <w:r>
        <w:t xml:space="preserve">Photo evidence: VietnamPlus ancestral altar (February 2026)  </w:t>
      </w:r>
      <w:hyperlink r:id="rId13">
        <w:r>
          <w:rPr>
            <w:color w:val="166E72"/>
            <w:u w:val="single"/>
          </w:rPr>
          <w:t>View source</w:t>
        </w:r>
      </w:hyperlink>
    </w:p>
    <w:p>
      <w:pPr>
        <w:pStyle w:val="SmallText"/>
      </w:pPr>
      <w:r>
        <w:t xml:space="preserve">Photo evidence: Vietnam Beverage Association illustrated report (February 2026)  </w:t>
      </w:r>
      <w:hyperlink r:id="rId14">
        <w:r>
          <w:rPr>
            <w:color w:val="166E72"/>
            <w:u w:val="single"/>
          </w:rPr>
          <w:t>View source</w:t>
        </w:r>
      </w:hyperlink>
    </w:p>
    <w:p>
      <w:pPr>
        <w:pStyle w:val="SmallText"/>
      </w:pPr>
      <w:r>
        <w:t xml:space="preserve">Retail evidence: Saigon Co.op government announcement (January 2025)  </w:t>
      </w:r>
      <w:hyperlink r:id="rId15">
        <w:r>
          <w:rPr>
            <w:color w:val="166E72"/>
            <w:u w:val="single"/>
          </w:rPr>
          <w:t>View source</w:t>
        </w:r>
      </w:hyperlink>
    </w:p>
    <w:p>
      <w:pPr>
        <w:pStyle w:val="SmallText"/>
      </w:pPr>
      <w:r>
        <w:t>The links above open the original published photographs and retail case evidence. Photographic images are not reproduced here; embedded figures are original analytical illustrations.</w:t>
      </w:r>
    </w:p>
    <w:p>
      <w:pPr>
        <w:pStyle w:val="Heading1"/>
      </w:pPr>
      <w:r>
        <w:t>2. FMCG category and brand universe</w:t>
      </w:r>
    </w:p>
    <w:p>
      <w:pPr/>
      <w:r>
        <w:t>The following is a working market universe organised by FMCG category. It combines established broad-category brands with product lines relevant to the consumption context. “Example products” are portfolio signals, not a definitive exhaustive SKU census.</w:t>
      </w:r>
    </w:p>
    <w:tbl>
      <w:tblPr>
        <w:tblW w:type="auto" w:w="0"/>
        <w:jc w:val="center"/>
        <w:tblLayout w:type="fixed"/>
        <w:tblLook w:firstColumn="1" w:firstRow="1" w:lastColumn="0" w:lastRow="0" w:noHBand="0" w:noVBand="1" w:val="04A0"/>
      </w:tblPr>
      <w:tblGrid>
        <w:gridCol w:w="1701"/>
        <w:gridCol w:w="2466"/>
        <w:gridCol w:w="3402"/>
        <w:gridCol w:w="2069"/>
      </w:tblGrid>
      <w:tr>
        <w:trPr>
          <w:tblHeader w:val="true"/>
        </w:trPr>
        <w:tc>
          <w:tcPr>
            <w:tcW w:type="dxa" w:w="1701"/>
            <w:shd w:fill="153342"/>
            <w:vAlign w:val="center"/>
          </w:tcPr>
          <w:p>
            <w:pPr>
              <w:spacing w:after="40"/>
            </w:pPr>
            <w:r>
              <w:rPr>
                <w:b/>
                <w:color w:val="FFFFFF"/>
                <w:sz w:val="13"/>
              </w:rPr>
              <w:t>Category</w:t>
            </w:r>
          </w:p>
        </w:tc>
        <w:tc>
          <w:tcPr>
            <w:tcW w:type="dxa" w:w="2466"/>
            <w:shd w:fill="153342"/>
            <w:vAlign w:val="center"/>
          </w:tcPr>
          <w:p>
            <w:pPr>
              <w:spacing w:after="40"/>
            </w:pPr>
            <w:r>
              <w:rPr>
                <w:b/>
                <w:color w:val="FFFFFF"/>
                <w:sz w:val="13"/>
              </w:rPr>
              <w:t>Brand universe</w:t>
            </w:r>
          </w:p>
        </w:tc>
        <w:tc>
          <w:tcPr>
            <w:tcW w:type="dxa" w:w="3402"/>
            <w:shd w:fill="153342"/>
            <w:vAlign w:val="center"/>
          </w:tcPr>
          <w:p>
            <w:pPr>
              <w:spacing w:after="40"/>
            </w:pPr>
            <w:r>
              <w:rPr>
                <w:b/>
                <w:color w:val="FFFFFF"/>
                <w:sz w:val="13"/>
              </w:rPr>
              <w:t>Example product lines / formats</w:t>
            </w:r>
          </w:p>
        </w:tc>
        <w:tc>
          <w:tcPr>
            <w:tcW w:type="dxa" w:w="2069"/>
            <w:shd w:fill="153342"/>
            <w:vAlign w:val="center"/>
          </w:tcPr>
          <w:p>
            <w:pPr>
              <w:spacing w:after="40"/>
            </w:pPr>
            <w:r>
              <w:rPr>
                <w:b/>
                <w:color w:val="FFFFFF"/>
                <w:sz w:val="13"/>
              </w:rPr>
              <w:t>Occasion role</w:t>
            </w:r>
          </w:p>
        </w:tc>
      </w:tr>
      <w:tr>
        <w:tc>
          <w:tcPr>
            <w:tcW w:type="dxa" w:w="1701"/>
            <w:vAlign w:val="top"/>
            <w:shd w:fill="F1F6F5"/>
          </w:tcPr>
          <w:p>
            <w:pPr>
              <w:spacing w:after="30" w:before="30" w:line="247" w:lineRule="auto"/>
            </w:pPr>
            <w:r>
              <w:rPr>
                <w:color w:val="20313A"/>
                <w:sz w:val="13"/>
              </w:rPr>
              <w:t>Carbonated soft drinks</w:t>
            </w:r>
          </w:p>
        </w:tc>
        <w:tc>
          <w:tcPr>
            <w:tcW w:type="dxa" w:w="2466"/>
            <w:vAlign w:val="top"/>
            <w:shd w:fill="F1F6F5"/>
          </w:tcPr>
          <w:p>
            <w:pPr>
              <w:spacing w:after="30" w:before="30" w:line="247" w:lineRule="auto"/>
            </w:pPr>
            <w:r>
              <w:rPr>
                <w:color w:val="20313A"/>
                <w:sz w:val="13"/>
              </w:rPr>
              <w:t>Coca-Cola; Pepsi; Fanta; Sprite; 7UP; Mirinda</w:t>
            </w:r>
          </w:p>
        </w:tc>
        <w:tc>
          <w:tcPr>
            <w:tcW w:type="dxa" w:w="3402"/>
            <w:vAlign w:val="top"/>
            <w:shd w:fill="F1F6F5"/>
          </w:tcPr>
          <w:p>
            <w:pPr>
              <w:spacing w:after="30" w:before="30" w:line="247" w:lineRule="auto"/>
            </w:pPr>
            <w:r>
              <w:rPr>
                <w:color w:val="20313A"/>
                <w:sz w:val="13"/>
              </w:rPr>
              <w:t>Coca-Cola Original Taste cans; Pepsi Cola; Fanta Orange; 7UP; Mirinda Orange</w:t>
            </w:r>
          </w:p>
        </w:tc>
        <w:tc>
          <w:tcPr>
            <w:tcW w:type="dxa" w:w="2069"/>
            <w:vAlign w:val="top"/>
            <w:shd w:fill="F1F6F5"/>
          </w:tcPr>
          <w:p>
            <w:pPr>
              <w:spacing w:after="30" w:before="30" w:line="247" w:lineRule="auto"/>
            </w:pPr>
            <w:r>
              <w:rPr>
                <w:color w:val="20313A"/>
                <w:sz w:val="13"/>
              </w:rPr>
              <w:t>Tết display in some homes; family hospitality and feasts</w:t>
            </w:r>
          </w:p>
        </w:tc>
      </w:tr>
      <w:tr>
        <w:tc>
          <w:tcPr>
            <w:tcW w:type="dxa" w:w="1701"/>
            <w:vAlign w:val="top"/>
          </w:tcPr>
          <w:p>
            <w:pPr>
              <w:spacing w:after="30" w:before="30" w:line="247" w:lineRule="auto"/>
            </w:pPr>
            <w:r>
              <w:rPr>
                <w:color w:val="20313A"/>
                <w:sz w:val="13"/>
              </w:rPr>
              <w:t>Bottled water</w:t>
            </w:r>
          </w:p>
        </w:tc>
        <w:tc>
          <w:tcPr>
            <w:tcW w:type="dxa" w:w="2466"/>
            <w:vAlign w:val="top"/>
          </w:tcPr>
          <w:p>
            <w:pPr>
              <w:spacing w:after="30" w:before="30" w:line="247" w:lineRule="auto"/>
            </w:pPr>
            <w:r>
              <w:rPr>
                <w:color w:val="20313A"/>
                <w:sz w:val="13"/>
              </w:rPr>
              <w:t>Aquafina; La Vie; Dasani; i-on Life</w:t>
            </w:r>
          </w:p>
        </w:tc>
        <w:tc>
          <w:tcPr>
            <w:tcW w:type="dxa" w:w="3402"/>
            <w:vAlign w:val="top"/>
          </w:tcPr>
          <w:p>
            <w:pPr>
              <w:spacing w:after="30" w:before="30" w:line="247" w:lineRule="auto"/>
            </w:pPr>
            <w:r>
              <w:rPr>
                <w:color w:val="20313A"/>
                <w:sz w:val="13"/>
              </w:rPr>
              <w:t>Still water in small PET bottles, 350–600 ml; larger household formats</w:t>
            </w:r>
          </w:p>
        </w:tc>
        <w:tc>
          <w:tcPr>
            <w:tcW w:type="dxa" w:w="2069"/>
            <w:vAlign w:val="top"/>
          </w:tcPr>
          <w:p>
            <w:pPr>
              <w:spacing w:after="30" w:before="30" w:line="247" w:lineRule="auto"/>
            </w:pPr>
            <w:r>
              <w:rPr>
                <w:color w:val="20313A"/>
                <w:sz w:val="13"/>
              </w:rPr>
              <w:t>Routine water offerings, monthly observances, temple visits</w:t>
            </w:r>
          </w:p>
        </w:tc>
      </w:tr>
      <w:tr>
        <w:tc>
          <w:tcPr>
            <w:tcW w:type="dxa" w:w="1701"/>
            <w:vAlign w:val="top"/>
            <w:shd w:fill="F1F6F5"/>
          </w:tcPr>
          <w:p>
            <w:pPr>
              <w:spacing w:after="30" w:before="30" w:line="247" w:lineRule="auto"/>
            </w:pPr>
            <w:r>
              <w:rPr>
                <w:color w:val="20313A"/>
                <w:sz w:val="13"/>
              </w:rPr>
              <w:t>Traditional tea</w:t>
            </w:r>
          </w:p>
        </w:tc>
        <w:tc>
          <w:tcPr>
            <w:tcW w:type="dxa" w:w="2466"/>
            <w:vAlign w:val="top"/>
            <w:shd w:fill="F1F6F5"/>
          </w:tcPr>
          <w:p>
            <w:pPr>
              <w:spacing w:after="30" w:before="30" w:line="247" w:lineRule="auto"/>
            </w:pPr>
            <w:r>
              <w:rPr>
                <w:color w:val="20313A"/>
                <w:sz w:val="13"/>
              </w:rPr>
              <w:t>Cozy; Phúc Long; Vinatea; regional Thái Nguyên tea</w:t>
            </w:r>
          </w:p>
        </w:tc>
        <w:tc>
          <w:tcPr>
            <w:tcW w:type="dxa" w:w="3402"/>
            <w:vAlign w:val="top"/>
            <w:shd w:fill="F1F6F5"/>
          </w:tcPr>
          <w:p>
            <w:pPr>
              <w:spacing w:after="30" w:before="30" w:line="247" w:lineRule="auto"/>
            </w:pPr>
            <w:r>
              <w:rPr>
                <w:color w:val="20313A"/>
                <w:sz w:val="13"/>
              </w:rPr>
              <w:t>Green tea; jasmine tea; lotus tea; tea bags; loose-leaf tea</w:t>
            </w:r>
          </w:p>
        </w:tc>
        <w:tc>
          <w:tcPr>
            <w:tcW w:type="dxa" w:w="2069"/>
            <w:vAlign w:val="top"/>
            <w:shd w:fill="F1F6F5"/>
          </w:tcPr>
          <w:p>
            <w:pPr>
              <w:spacing w:after="30" w:before="30" w:line="247" w:lineRule="auto"/>
            </w:pPr>
            <w:r>
              <w:rPr>
                <w:color w:val="20313A"/>
                <w:sz w:val="13"/>
              </w:rPr>
              <w:t>Ancestral remembrance, monthly lunar rites, family hospitality</w:t>
            </w:r>
          </w:p>
        </w:tc>
      </w:tr>
      <w:tr>
        <w:tc>
          <w:tcPr>
            <w:tcW w:type="dxa" w:w="1701"/>
            <w:vAlign w:val="top"/>
          </w:tcPr>
          <w:p>
            <w:pPr>
              <w:spacing w:after="30" w:before="30" w:line="247" w:lineRule="auto"/>
            </w:pPr>
            <w:r>
              <w:rPr>
                <w:color w:val="20313A"/>
                <w:sz w:val="13"/>
              </w:rPr>
              <w:t>Coffee</w:t>
            </w:r>
          </w:p>
        </w:tc>
        <w:tc>
          <w:tcPr>
            <w:tcW w:type="dxa" w:w="2466"/>
            <w:vAlign w:val="top"/>
          </w:tcPr>
          <w:p>
            <w:pPr>
              <w:spacing w:after="30" w:before="30" w:line="247" w:lineRule="auto"/>
            </w:pPr>
            <w:r>
              <w:rPr>
                <w:color w:val="20313A"/>
                <w:sz w:val="13"/>
              </w:rPr>
              <w:t>G7 / Trung Nguyên; Nescafé; Vinacafé; Highlands Coffee</w:t>
            </w:r>
          </w:p>
        </w:tc>
        <w:tc>
          <w:tcPr>
            <w:tcW w:type="dxa" w:w="3402"/>
            <w:vAlign w:val="top"/>
          </w:tcPr>
          <w:p>
            <w:pPr>
              <w:spacing w:after="30" w:before="30" w:line="247" w:lineRule="auto"/>
            </w:pPr>
            <w:r>
              <w:rPr>
                <w:color w:val="20313A"/>
                <w:sz w:val="13"/>
              </w:rPr>
              <w:t>G7 3in1; G7 Pure Black; Nescafé 3in1; packaged instant coffee</w:t>
            </w:r>
          </w:p>
        </w:tc>
        <w:tc>
          <w:tcPr>
            <w:tcW w:type="dxa" w:w="2069"/>
            <w:vAlign w:val="top"/>
          </w:tcPr>
          <w:p>
            <w:pPr>
              <w:spacing w:after="30" w:before="30" w:line="247" w:lineRule="auto"/>
            </w:pPr>
            <w:r>
              <w:rPr>
                <w:color w:val="20313A"/>
                <w:sz w:val="13"/>
              </w:rPr>
              <w:t>Some contemporary ancestor altars; guests and gifts</w:t>
            </w:r>
          </w:p>
        </w:tc>
      </w:tr>
      <w:tr>
        <w:tc>
          <w:tcPr>
            <w:tcW w:type="dxa" w:w="1701"/>
            <w:vAlign w:val="top"/>
            <w:shd w:fill="F1F6F5"/>
          </w:tcPr>
          <w:p>
            <w:pPr>
              <w:spacing w:after="30" w:before="30" w:line="247" w:lineRule="auto"/>
            </w:pPr>
            <w:r>
              <w:rPr>
                <w:color w:val="20313A"/>
                <w:sz w:val="13"/>
              </w:rPr>
              <w:t>Biscuits and cookies</w:t>
            </w:r>
          </w:p>
        </w:tc>
        <w:tc>
          <w:tcPr>
            <w:tcW w:type="dxa" w:w="2466"/>
            <w:vAlign w:val="top"/>
            <w:shd w:fill="F1F6F5"/>
          </w:tcPr>
          <w:p>
            <w:pPr>
              <w:spacing w:after="30" w:before="30" w:line="247" w:lineRule="auto"/>
            </w:pPr>
            <w:r>
              <w:rPr>
                <w:color w:val="20313A"/>
                <w:sz w:val="13"/>
              </w:rPr>
              <w:t>Kinh Đô / Cosy; Orion; Bibica; Danisa; Richy; Hữu Nghị; Nabati; Mayora</w:t>
            </w:r>
          </w:p>
        </w:tc>
        <w:tc>
          <w:tcPr>
            <w:tcW w:type="dxa" w:w="3402"/>
            <w:vAlign w:val="top"/>
            <w:shd w:fill="F1F6F5"/>
          </w:tcPr>
          <w:p>
            <w:pPr>
              <w:spacing w:after="30" w:before="30" w:line="247" w:lineRule="auto"/>
            </w:pPr>
            <w:r>
              <w:rPr>
                <w:color w:val="20313A"/>
                <w:sz w:val="13"/>
              </w:rPr>
              <w:t>Cosy Marie; Orion Gouté; Bibica Goody; butter-cookie tins; wafer boxes</w:t>
            </w:r>
          </w:p>
        </w:tc>
        <w:tc>
          <w:tcPr>
            <w:tcW w:type="dxa" w:w="2069"/>
            <w:vAlign w:val="top"/>
            <w:shd w:fill="F1F6F5"/>
          </w:tcPr>
          <w:p>
            <w:pPr>
              <w:spacing w:after="30" w:before="30" w:line="247" w:lineRule="auto"/>
            </w:pPr>
            <w:r>
              <w:rPr>
                <w:color w:val="20313A"/>
                <w:sz w:val="13"/>
              </w:rPr>
              <w:t>Tết displays, sweets, family sharing and gifts</w:t>
            </w:r>
          </w:p>
        </w:tc>
      </w:tr>
      <w:tr>
        <w:tc>
          <w:tcPr>
            <w:tcW w:type="dxa" w:w="1701"/>
            <w:vAlign w:val="top"/>
          </w:tcPr>
          <w:p>
            <w:pPr>
              <w:spacing w:after="30" w:before="30" w:line="247" w:lineRule="auto"/>
            </w:pPr>
            <w:r>
              <w:rPr>
                <w:color w:val="20313A"/>
                <w:sz w:val="13"/>
              </w:rPr>
              <w:t>Packaged sponge cakes</w:t>
            </w:r>
          </w:p>
        </w:tc>
        <w:tc>
          <w:tcPr>
            <w:tcW w:type="dxa" w:w="2466"/>
            <w:vAlign w:val="top"/>
          </w:tcPr>
          <w:p>
            <w:pPr>
              <w:spacing w:after="30" w:before="30" w:line="247" w:lineRule="auto"/>
            </w:pPr>
            <w:r>
              <w:rPr>
                <w:color w:val="20313A"/>
                <w:sz w:val="13"/>
              </w:rPr>
              <w:t>Orion; Kinh Đô; Bibica; Hữu Nghị</w:t>
            </w:r>
          </w:p>
        </w:tc>
        <w:tc>
          <w:tcPr>
            <w:tcW w:type="dxa" w:w="3402"/>
            <w:vAlign w:val="top"/>
          </w:tcPr>
          <w:p>
            <w:pPr>
              <w:spacing w:after="30" w:before="30" w:line="247" w:lineRule="auto"/>
            </w:pPr>
            <w:r>
              <w:rPr>
                <w:color w:val="20313A"/>
                <w:sz w:val="13"/>
              </w:rPr>
              <w:t>ChocoPie; Custas; C’est Bon; Solite; Hura; Tipo</w:t>
            </w:r>
          </w:p>
        </w:tc>
        <w:tc>
          <w:tcPr>
            <w:tcW w:type="dxa" w:w="2069"/>
            <w:vAlign w:val="top"/>
          </w:tcPr>
          <w:p>
            <w:pPr>
              <w:spacing w:after="30" w:before="30" w:line="247" w:lineRule="auto"/>
            </w:pPr>
            <w:r>
              <w:rPr>
                <w:color w:val="20313A"/>
                <w:sz w:val="13"/>
              </w:rPr>
              <w:t>Documented packaged-cake altar use and household sharing</w:t>
            </w:r>
          </w:p>
        </w:tc>
      </w:tr>
      <w:tr>
        <w:tc>
          <w:tcPr>
            <w:tcW w:type="dxa" w:w="1701"/>
            <w:vAlign w:val="top"/>
            <w:shd w:fill="F1F6F5"/>
          </w:tcPr>
          <w:p>
            <w:pPr>
              <w:spacing w:after="30" w:before="30" w:line="247" w:lineRule="auto"/>
            </w:pPr>
            <w:r>
              <w:rPr>
                <w:color w:val="20313A"/>
                <w:sz w:val="13"/>
              </w:rPr>
              <w:t>Confectionery</w:t>
            </w:r>
          </w:p>
        </w:tc>
        <w:tc>
          <w:tcPr>
            <w:tcW w:type="dxa" w:w="2466"/>
            <w:vAlign w:val="top"/>
            <w:shd w:fill="F1F6F5"/>
          </w:tcPr>
          <w:p>
            <w:pPr>
              <w:spacing w:after="30" w:before="30" w:line="247" w:lineRule="auto"/>
            </w:pPr>
            <w:r>
              <w:rPr>
                <w:color w:val="20313A"/>
                <w:sz w:val="13"/>
              </w:rPr>
              <w:t>Bibica; Hải Hà; Tràng An; Alpenliebe; Mentos; Chupa Chups</w:t>
            </w:r>
          </w:p>
        </w:tc>
        <w:tc>
          <w:tcPr>
            <w:tcW w:type="dxa" w:w="3402"/>
            <w:vAlign w:val="top"/>
            <w:shd w:fill="F1F6F5"/>
          </w:tcPr>
          <w:p>
            <w:pPr>
              <w:spacing w:after="30" w:before="30" w:line="247" w:lineRule="auto"/>
            </w:pPr>
            <w:r>
              <w:rPr>
                <w:color w:val="20313A"/>
                <w:sz w:val="13"/>
              </w:rPr>
              <w:t>Wrapped assortments; Cheery; Phát Tài; seasonal tins and jars</w:t>
            </w:r>
          </w:p>
        </w:tc>
        <w:tc>
          <w:tcPr>
            <w:tcW w:type="dxa" w:w="2069"/>
            <w:vAlign w:val="top"/>
            <w:shd w:fill="F1F6F5"/>
          </w:tcPr>
          <w:p>
            <w:pPr>
              <w:spacing w:after="30" w:before="30" w:line="247" w:lineRule="auto"/>
            </w:pPr>
            <w:r>
              <w:rPr>
                <w:color w:val="20313A"/>
                <w:sz w:val="13"/>
              </w:rPr>
              <w:t>Tết candy trays, offerings in some homes, gifting</w:t>
            </w:r>
          </w:p>
        </w:tc>
      </w:tr>
      <w:tr>
        <w:tc>
          <w:tcPr>
            <w:tcW w:type="dxa" w:w="1701"/>
            <w:vAlign w:val="top"/>
          </w:tcPr>
          <w:p>
            <w:pPr>
              <w:spacing w:after="30" w:before="30" w:line="247" w:lineRule="auto"/>
            </w:pPr>
            <w:r>
              <w:rPr>
                <w:color w:val="20313A"/>
                <w:sz w:val="13"/>
              </w:rPr>
              <w:t>Mooncakes</w:t>
            </w:r>
          </w:p>
        </w:tc>
        <w:tc>
          <w:tcPr>
            <w:tcW w:type="dxa" w:w="2466"/>
            <w:vAlign w:val="top"/>
          </w:tcPr>
          <w:p>
            <w:pPr>
              <w:spacing w:after="30" w:before="30" w:line="247" w:lineRule="auto"/>
            </w:pPr>
            <w:r>
              <w:rPr>
                <w:color w:val="20313A"/>
                <w:sz w:val="13"/>
              </w:rPr>
              <w:t>Kinh Đô; Bibica; Hữu Nghị; Givral; Brodard; Như Lan; Bảo Phương</w:t>
            </w:r>
          </w:p>
        </w:tc>
        <w:tc>
          <w:tcPr>
            <w:tcW w:type="dxa" w:w="3402"/>
            <w:vAlign w:val="top"/>
          </w:tcPr>
          <w:p>
            <w:pPr>
              <w:spacing w:after="30" w:before="30" w:line="247" w:lineRule="auto"/>
            </w:pPr>
            <w:r>
              <w:rPr>
                <w:color w:val="20313A"/>
                <w:sz w:val="13"/>
              </w:rPr>
              <w:t>Baked/soft mooncakes; lotus; mung bean; mixed nuts; premium gift boxes</w:t>
            </w:r>
          </w:p>
        </w:tc>
        <w:tc>
          <w:tcPr>
            <w:tcW w:type="dxa" w:w="2069"/>
            <w:vAlign w:val="top"/>
          </w:tcPr>
          <w:p>
            <w:pPr>
              <w:spacing w:after="30" w:before="30" w:line="247" w:lineRule="auto"/>
            </w:pPr>
            <w:r>
              <w:rPr>
                <w:color w:val="20313A"/>
                <w:sz w:val="13"/>
              </w:rPr>
              <w:t>Trung Thu offerings, family sharing and gifts</w:t>
            </w:r>
          </w:p>
        </w:tc>
      </w:tr>
      <w:tr>
        <w:tc>
          <w:tcPr>
            <w:tcW w:type="dxa" w:w="1701"/>
            <w:vAlign w:val="top"/>
            <w:shd w:fill="F1F6F5"/>
          </w:tcPr>
          <w:p>
            <w:pPr>
              <w:spacing w:after="30" w:before="30" w:line="247" w:lineRule="auto"/>
            </w:pPr>
            <w:r>
              <w:rPr>
                <w:color w:val="20313A"/>
                <w:sz w:val="13"/>
              </w:rPr>
              <w:t>Dried fruit</w:t>
            </w:r>
          </w:p>
        </w:tc>
        <w:tc>
          <w:tcPr>
            <w:tcW w:type="dxa" w:w="2466"/>
            <w:vAlign w:val="top"/>
            <w:shd w:fill="F1F6F5"/>
          </w:tcPr>
          <w:p>
            <w:pPr>
              <w:spacing w:after="30" w:before="30" w:line="247" w:lineRule="auto"/>
            </w:pPr>
            <w:r>
              <w:rPr>
                <w:color w:val="20313A"/>
                <w:sz w:val="13"/>
              </w:rPr>
              <w:t>Vinamit; regional specialty producers; private labels</w:t>
            </w:r>
          </w:p>
        </w:tc>
        <w:tc>
          <w:tcPr>
            <w:tcW w:type="dxa" w:w="3402"/>
            <w:vAlign w:val="top"/>
            <w:shd w:fill="F1F6F5"/>
          </w:tcPr>
          <w:p>
            <w:pPr>
              <w:spacing w:after="30" w:before="30" w:line="247" w:lineRule="auto"/>
            </w:pPr>
            <w:r>
              <w:rPr>
                <w:color w:val="20313A"/>
                <w:sz w:val="13"/>
              </w:rPr>
              <w:t>Dried jackfruit; banana; mango; mixed-fruit boxes</w:t>
            </w:r>
          </w:p>
        </w:tc>
        <w:tc>
          <w:tcPr>
            <w:tcW w:type="dxa" w:w="2069"/>
            <w:vAlign w:val="top"/>
            <w:shd w:fill="F1F6F5"/>
          </w:tcPr>
          <w:p>
            <w:pPr>
              <w:spacing w:after="30" w:before="30" w:line="247" w:lineRule="auto"/>
            </w:pPr>
            <w:r>
              <w:rPr>
                <w:color w:val="20313A"/>
                <w:sz w:val="13"/>
              </w:rPr>
              <w:t>Tết gifting and hospitality; some displays</w:t>
            </w:r>
          </w:p>
        </w:tc>
      </w:tr>
      <w:tr>
        <w:tc>
          <w:tcPr>
            <w:tcW w:type="dxa" w:w="1701"/>
            <w:vAlign w:val="top"/>
          </w:tcPr>
          <w:p>
            <w:pPr>
              <w:spacing w:after="30" w:before="30" w:line="247" w:lineRule="auto"/>
            </w:pPr>
            <w:r>
              <w:rPr>
                <w:color w:val="20313A"/>
                <w:sz w:val="13"/>
              </w:rPr>
              <w:t>Nuts and seeds</w:t>
            </w:r>
          </w:p>
        </w:tc>
        <w:tc>
          <w:tcPr>
            <w:tcW w:type="dxa" w:w="2466"/>
            <w:vAlign w:val="top"/>
          </w:tcPr>
          <w:p>
            <w:pPr>
              <w:spacing w:after="30" w:before="30" w:line="247" w:lineRule="auto"/>
            </w:pPr>
            <w:r>
              <w:rPr>
                <w:color w:val="20313A"/>
                <w:sz w:val="13"/>
              </w:rPr>
              <w:t>Lafooco; Tân Tân; private labels; imports</w:t>
            </w:r>
          </w:p>
        </w:tc>
        <w:tc>
          <w:tcPr>
            <w:tcW w:type="dxa" w:w="3402"/>
            <w:vAlign w:val="top"/>
          </w:tcPr>
          <w:p>
            <w:pPr>
              <w:spacing w:after="30" w:before="30" w:line="247" w:lineRule="auto"/>
            </w:pPr>
            <w:r>
              <w:rPr>
                <w:color w:val="20313A"/>
                <w:sz w:val="13"/>
              </w:rPr>
              <w:t>Cashews; peanuts; almonds; sunflower seeds; mixed nuts</w:t>
            </w:r>
          </w:p>
        </w:tc>
        <w:tc>
          <w:tcPr>
            <w:tcW w:type="dxa" w:w="2069"/>
            <w:vAlign w:val="top"/>
          </w:tcPr>
          <w:p>
            <w:pPr>
              <w:spacing w:after="30" w:before="30" w:line="247" w:lineRule="auto"/>
            </w:pPr>
            <w:r>
              <w:rPr>
                <w:color w:val="20313A"/>
                <w:sz w:val="13"/>
              </w:rPr>
              <w:t>Tết gifts and household snack trays</w:t>
            </w:r>
          </w:p>
        </w:tc>
      </w:tr>
      <w:tr>
        <w:tc>
          <w:tcPr>
            <w:tcW w:type="dxa" w:w="1701"/>
            <w:vAlign w:val="top"/>
            <w:shd w:fill="F1F6F5"/>
          </w:tcPr>
          <w:p>
            <w:pPr>
              <w:spacing w:after="30" w:before="30" w:line="247" w:lineRule="auto"/>
            </w:pPr>
            <w:r>
              <w:rPr>
                <w:color w:val="20313A"/>
                <w:sz w:val="13"/>
              </w:rPr>
              <w:t>Processed meat / foods</w:t>
            </w:r>
          </w:p>
        </w:tc>
        <w:tc>
          <w:tcPr>
            <w:tcW w:type="dxa" w:w="2466"/>
            <w:vAlign w:val="top"/>
            <w:shd w:fill="F1F6F5"/>
          </w:tcPr>
          <w:p>
            <w:pPr>
              <w:spacing w:after="30" w:before="30" w:line="247" w:lineRule="auto"/>
            </w:pPr>
            <w:r>
              <w:rPr>
                <w:color w:val="20313A"/>
                <w:sz w:val="13"/>
              </w:rPr>
              <w:t>Vissan; Cầu Tre; local/supermarket prepared foods</w:t>
            </w:r>
          </w:p>
        </w:tc>
        <w:tc>
          <w:tcPr>
            <w:tcW w:type="dxa" w:w="3402"/>
            <w:vAlign w:val="top"/>
            <w:shd w:fill="F1F6F5"/>
          </w:tcPr>
          <w:p>
            <w:pPr>
              <w:spacing w:after="30" w:before="30" w:line="247" w:lineRule="auto"/>
            </w:pPr>
            <w:r>
              <w:rPr>
                <w:color w:val="20313A"/>
                <w:sz w:val="13"/>
              </w:rPr>
              <w:t>Chả lụa; chả giò; lạp xưởng; marinated meat; fresh ceremonial foods</w:t>
            </w:r>
          </w:p>
        </w:tc>
        <w:tc>
          <w:tcPr>
            <w:tcW w:type="dxa" w:w="2069"/>
            <w:vAlign w:val="top"/>
            <w:shd w:fill="F1F6F5"/>
          </w:tcPr>
          <w:p>
            <w:pPr>
              <w:spacing w:after="30" w:before="30" w:line="247" w:lineRule="auto"/>
            </w:pPr>
            <w:r>
              <w:rPr>
                <w:color w:val="20313A"/>
                <w:sz w:val="13"/>
              </w:rPr>
              <w:t>Tết ancestor meals and giỗ preparation</w:t>
            </w:r>
          </w:p>
        </w:tc>
      </w:tr>
      <w:tr>
        <w:tc>
          <w:tcPr>
            <w:tcW w:type="dxa" w:w="1701"/>
            <w:vAlign w:val="top"/>
          </w:tcPr>
          <w:p>
            <w:pPr>
              <w:spacing w:after="30" w:before="30" w:line="247" w:lineRule="auto"/>
            </w:pPr>
            <w:r>
              <w:rPr>
                <w:color w:val="20313A"/>
                <w:sz w:val="13"/>
              </w:rPr>
              <w:t>Vegetarian convenience</w:t>
            </w:r>
          </w:p>
        </w:tc>
        <w:tc>
          <w:tcPr>
            <w:tcW w:type="dxa" w:w="2466"/>
            <w:vAlign w:val="top"/>
          </w:tcPr>
          <w:p>
            <w:pPr>
              <w:spacing w:after="30" w:before="30" w:line="247" w:lineRule="auto"/>
            </w:pPr>
            <w:r>
              <w:rPr>
                <w:color w:val="20313A"/>
                <w:sz w:val="13"/>
              </w:rPr>
              <w:t>Acecook / Hảo Hảo; Vifon; vegetarian specialists</w:t>
            </w:r>
          </w:p>
        </w:tc>
        <w:tc>
          <w:tcPr>
            <w:tcW w:type="dxa" w:w="3402"/>
            <w:vAlign w:val="top"/>
          </w:tcPr>
          <w:p>
            <w:pPr>
              <w:spacing w:after="30" w:before="30" w:line="247" w:lineRule="auto"/>
            </w:pPr>
            <w:r>
              <w:rPr>
                <w:color w:val="20313A"/>
                <w:sz w:val="13"/>
              </w:rPr>
              <w:t>Vegetarian noodles; mushroom pho; tofu; ready-prepared chay dishes</w:t>
            </w:r>
          </w:p>
        </w:tc>
        <w:tc>
          <w:tcPr>
            <w:tcW w:type="dxa" w:w="2069"/>
            <w:vAlign w:val="top"/>
          </w:tcPr>
          <w:p>
            <w:pPr>
              <w:spacing w:after="30" w:before="30" w:line="247" w:lineRule="auto"/>
            </w:pPr>
            <w:r>
              <w:rPr>
                <w:color w:val="20313A"/>
                <w:sz w:val="13"/>
              </w:rPr>
              <w:t>Buddhist vegetarian eating and Vu Lan; direct trays often local</w:t>
            </w:r>
          </w:p>
        </w:tc>
      </w:tr>
      <w:tr>
        <w:tc>
          <w:tcPr>
            <w:tcW w:type="dxa" w:w="1701"/>
            <w:vAlign w:val="top"/>
            <w:shd w:fill="F1F6F5"/>
          </w:tcPr>
          <w:p>
            <w:pPr>
              <w:spacing w:after="30" w:before="30" w:line="247" w:lineRule="auto"/>
            </w:pPr>
            <w:r>
              <w:rPr>
                <w:color w:val="20313A"/>
                <w:sz w:val="13"/>
              </w:rPr>
              <w:t>Cooking staples</w:t>
            </w:r>
          </w:p>
        </w:tc>
        <w:tc>
          <w:tcPr>
            <w:tcW w:type="dxa" w:w="2466"/>
            <w:vAlign w:val="top"/>
            <w:shd w:fill="F1F6F5"/>
          </w:tcPr>
          <w:p>
            <w:pPr>
              <w:spacing w:after="30" w:before="30" w:line="247" w:lineRule="auto"/>
            </w:pPr>
            <w:r>
              <w:rPr>
                <w:color w:val="20313A"/>
                <w:sz w:val="13"/>
              </w:rPr>
              <w:t>CHIN-SU; Nam Ngư; MAGGI; Cholimex; Neptune; Simply; Meizan</w:t>
            </w:r>
          </w:p>
        </w:tc>
        <w:tc>
          <w:tcPr>
            <w:tcW w:type="dxa" w:w="3402"/>
            <w:vAlign w:val="top"/>
            <w:shd w:fill="F1F6F5"/>
          </w:tcPr>
          <w:p>
            <w:pPr>
              <w:spacing w:after="30" w:before="30" w:line="247" w:lineRule="auto"/>
            </w:pPr>
            <w:r>
              <w:rPr>
                <w:color w:val="20313A"/>
                <w:sz w:val="13"/>
              </w:rPr>
              <w:t>Fish sauce; soy sauce; cooking oil; seasonings; chilli sauce</w:t>
            </w:r>
          </w:p>
        </w:tc>
        <w:tc>
          <w:tcPr>
            <w:tcW w:type="dxa" w:w="2069"/>
            <w:vAlign w:val="top"/>
            <w:shd w:fill="F1F6F5"/>
          </w:tcPr>
          <w:p>
            <w:pPr>
              <w:spacing w:after="30" w:before="30" w:line="247" w:lineRule="auto"/>
            </w:pPr>
            <w:r>
              <w:rPr>
                <w:color w:val="20313A"/>
                <w:sz w:val="13"/>
              </w:rPr>
              <w:t>Indirect input to ceremony meal preparation</w:t>
            </w:r>
          </w:p>
        </w:tc>
      </w:tr>
      <w:tr>
        <w:tc>
          <w:tcPr>
            <w:tcW w:type="dxa" w:w="1701"/>
            <w:vAlign w:val="top"/>
          </w:tcPr>
          <w:p>
            <w:pPr>
              <w:spacing w:after="30" w:before="30" w:line="247" w:lineRule="auto"/>
            </w:pPr>
            <w:r>
              <w:rPr>
                <w:color w:val="20313A"/>
                <w:sz w:val="13"/>
              </w:rPr>
              <w:t>Dairy / nutrition</w:t>
            </w:r>
          </w:p>
        </w:tc>
        <w:tc>
          <w:tcPr>
            <w:tcW w:type="dxa" w:w="2466"/>
            <w:vAlign w:val="top"/>
          </w:tcPr>
          <w:p>
            <w:pPr>
              <w:spacing w:after="30" w:before="30" w:line="247" w:lineRule="auto"/>
            </w:pPr>
            <w:r>
              <w:rPr>
                <w:color w:val="20313A"/>
                <w:sz w:val="13"/>
              </w:rPr>
              <w:t>Vinamilk; TH true MILK; Dutch Lady; Milo</w:t>
            </w:r>
          </w:p>
        </w:tc>
        <w:tc>
          <w:tcPr>
            <w:tcW w:type="dxa" w:w="3402"/>
            <w:vAlign w:val="top"/>
          </w:tcPr>
          <w:p>
            <w:pPr>
              <w:spacing w:after="30" w:before="30" w:line="247" w:lineRule="auto"/>
            </w:pPr>
            <w:r>
              <w:rPr>
                <w:color w:val="20313A"/>
                <w:sz w:val="13"/>
              </w:rPr>
              <w:t>UHT milk; flavoured milk; nutrition drinks</w:t>
            </w:r>
          </w:p>
        </w:tc>
        <w:tc>
          <w:tcPr>
            <w:tcW w:type="dxa" w:w="2069"/>
            <w:vAlign w:val="top"/>
          </w:tcPr>
          <w:p>
            <w:pPr>
              <w:spacing w:after="30" w:before="30" w:line="247" w:lineRule="auto"/>
            </w:pPr>
            <w:r>
              <w:rPr>
                <w:color w:val="20313A"/>
                <w:sz w:val="13"/>
              </w:rPr>
              <w:t>Family gathering and hospitality; peripheral altar role</w:t>
            </w:r>
          </w:p>
        </w:tc>
      </w:tr>
      <w:tr>
        <w:tc>
          <w:tcPr>
            <w:tcW w:type="dxa" w:w="1701"/>
            <w:vAlign w:val="top"/>
            <w:shd w:fill="F1F6F5"/>
          </w:tcPr>
          <w:p>
            <w:pPr>
              <w:spacing w:after="30" w:before="30" w:line="247" w:lineRule="auto"/>
            </w:pPr>
            <w:r>
              <w:rPr>
                <w:color w:val="20313A"/>
                <w:sz w:val="13"/>
              </w:rPr>
              <w:t>Beer</w:t>
            </w:r>
          </w:p>
        </w:tc>
        <w:tc>
          <w:tcPr>
            <w:tcW w:type="dxa" w:w="2466"/>
            <w:vAlign w:val="top"/>
            <w:shd w:fill="F1F6F5"/>
          </w:tcPr>
          <w:p>
            <w:pPr>
              <w:spacing w:after="30" w:before="30" w:line="247" w:lineRule="auto"/>
            </w:pPr>
            <w:r>
              <w:rPr>
                <w:color w:val="20313A"/>
                <w:sz w:val="13"/>
              </w:rPr>
              <w:t>Bia Saigon; Tiger; Heineken; Hanoi Beer; Trúc Bạch; Huda; Larue</w:t>
            </w:r>
          </w:p>
        </w:tc>
        <w:tc>
          <w:tcPr>
            <w:tcW w:type="dxa" w:w="3402"/>
            <w:vAlign w:val="top"/>
            <w:shd w:fill="F1F6F5"/>
          </w:tcPr>
          <w:p>
            <w:pPr>
              <w:spacing w:after="30" w:before="30" w:line="247" w:lineRule="auto"/>
            </w:pPr>
            <w:r>
              <w:rPr>
                <w:color w:val="20313A"/>
                <w:sz w:val="13"/>
              </w:rPr>
              <w:t>Saigon Lager; Saigon Special; Saigon Chill; 333; Tiger; Heineken</w:t>
            </w:r>
          </w:p>
        </w:tc>
        <w:tc>
          <w:tcPr>
            <w:tcW w:type="dxa" w:w="2069"/>
            <w:vAlign w:val="top"/>
            <w:shd w:fill="F1F6F5"/>
          </w:tcPr>
          <w:p>
            <w:pPr>
              <w:spacing w:after="30" w:before="30" w:line="247" w:lineRule="auto"/>
            </w:pPr>
            <w:r>
              <w:rPr>
                <w:color w:val="20313A"/>
                <w:sz w:val="13"/>
              </w:rPr>
              <w:t>Tết/giỗ feasts, some ancestor or folk displays</w:t>
            </w:r>
          </w:p>
        </w:tc>
      </w:tr>
      <w:tr>
        <w:tc>
          <w:tcPr>
            <w:tcW w:type="dxa" w:w="1701"/>
            <w:vAlign w:val="top"/>
          </w:tcPr>
          <w:p>
            <w:pPr>
              <w:spacing w:after="30" w:before="30" w:line="247" w:lineRule="auto"/>
            </w:pPr>
            <w:r>
              <w:rPr>
                <w:color w:val="20313A"/>
                <w:sz w:val="13"/>
              </w:rPr>
              <w:t>Fresh fruit</w:t>
            </w:r>
          </w:p>
        </w:tc>
        <w:tc>
          <w:tcPr>
            <w:tcW w:type="dxa" w:w="2466"/>
            <w:vAlign w:val="top"/>
          </w:tcPr>
          <w:p>
            <w:pPr>
              <w:spacing w:after="30" w:before="30" w:line="247" w:lineRule="auto"/>
            </w:pPr>
            <w:r>
              <w:rPr>
                <w:color w:val="20313A"/>
                <w:sz w:val="13"/>
              </w:rPr>
              <w:t>Unbranded growers/traders; WinEco; Co.op; premium fruit retailers</w:t>
            </w:r>
          </w:p>
        </w:tc>
        <w:tc>
          <w:tcPr>
            <w:tcW w:type="dxa" w:w="3402"/>
            <w:vAlign w:val="top"/>
          </w:tcPr>
          <w:p>
            <w:pPr>
              <w:spacing w:after="30" w:before="30" w:line="247" w:lineRule="auto"/>
            </w:pPr>
            <w:r>
              <w:rPr>
                <w:color w:val="20313A"/>
                <w:sz w:val="13"/>
              </w:rPr>
              <w:t>Bananas; pomelos; oranges; apples; mangoes; coconuts; region-specific sets</w:t>
            </w:r>
          </w:p>
        </w:tc>
        <w:tc>
          <w:tcPr>
            <w:tcW w:type="dxa" w:w="2069"/>
            <w:vAlign w:val="top"/>
          </w:tcPr>
          <w:p>
            <w:pPr>
              <w:spacing w:after="30" w:before="30" w:line="247" w:lineRule="auto"/>
            </w:pPr>
            <w:r>
              <w:rPr>
                <w:color w:val="20313A"/>
                <w:sz w:val="13"/>
              </w:rPr>
              <w:t>Fundamental direct offering category, fragmented branding</w:t>
            </w:r>
          </w:p>
        </w:tc>
      </w:tr>
    </w:tbl>
    <w:p>
      <w:pPr>
        <w:spacing w:after="0"/>
      </w:pPr>
    </w:p>
    <w:p>
      <w:pPr>
        <w:pStyle w:val="SmallText"/>
      </w:pPr>
      <w:r>
        <w:t>Brand notes: Coca-Cola’s documented category prominence comes from Worldpanel household choice data; Bibica and Orion product-specific listings are verified through their official portfolio pages. Fresh fruit and traditional prepared foods remain largely fragmented.</w:t>
      </w:r>
    </w:p>
    <w:p>
      <w:pPr>
        <w:pStyle w:val="Heading2"/>
      </w:pPr>
      <w:r>
        <w:t>Company concentration versus ceremony relevance</w:t>
      </w:r>
    </w:p>
    <w:p>
      <w:pPr>
        <w:spacing w:after="40"/>
        <w:jc w:val="center"/>
      </w:pPr>
      <w:r>
        <w:drawing>
          <wp:inline xmlns:a="http://schemas.openxmlformats.org/drawingml/2006/main" xmlns:pic="http://schemas.openxmlformats.org/drawingml/2006/picture">
            <wp:extent cx="6192000" cy="2476800"/>
            <wp:docPr id="3" name="Picture 3"/>
            <wp:cNvGraphicFramePr>
              <a:graphicFrameLocks noChangeAspect="1"/>
            </wp:cNvGraphicFramePr>
            <a:graphic>
              <a:graphicData uri="http://schemas.openxmlformats.org/drawingml/2006/picture">
                <pic:pic>
                  <pic:nvPicPr>
                    <pic:cNvPr id="0" name="battles.png"/>
                    <pic:cNvPicPr/>
                  </pic:nvPicPr>
                  <pic:blipFill>
                    <a:blip r:embed="rId16"/>
                    <a:stretch>
                      <a:fillRect/>
                    </a:stretch>
                  </pic:blipFill>
                  <pic:spPr>
                    <a:xfrm>
                      <a:off x="0" y="0"/>
                      <a:ext cx="6192000" cy="2476800"/>
                    </a:xfrm>
                    <a:prstGeom prst="rect"/>
                  </pic:spPr>
                </pic:pic>
              </a:graphicData>
            </a:graphic>
          </wp:inline>
        </w:drawing>
      </w:r>
    </w:p>
    <w:p>
      <w:pPr>
        <w:pStyle w:val="SmallText"/>
      </w:pPr>
      <w:r>
        <w:t>Figure 2. Competitive universes by category role. Brand names illustrate relevance and are not rankings of ritual sales.</w:t>
      </w:r>
    </w:p>
    <w:p>
      <w:pPr/>
      <w:r>
        <w:t>Coca-Cola was the most chosen beverage brand across Kantar’s Urban 4 and rural Vietnam panels in the 2023 ranking; Tiger and Bia Saigon were significant urban and rural beverage brands respectively, and G7 and Nescafé appeared in the urban beverage ranking. This is broader household-purchase evidence, not ceremony-specific leadership.</w:t>
      </w:r>
    </w:p>
    <w:p>
      <w:pPr>
        <w:pStyle w:val="SmallText"/>
      </w:pPr>
      <w:r>
        <w:t xml:space="preserve">Worldpanel / Kantar Vietnam Brand Footprint 2023  </w:t>
      </w:r>
      <w:hyperlink r:id="rId17">
        <w:r>
          <w:rPr>
            <w:color w:val="166E72"/>
            <w:u w:val="single"/>
          </w:rPr>
          <w:t>View source</w:t>
        </w:r>
      </w:hyperlink>
    </w:p>
    <w:p>
      <w:pPr>
        <w:pStyle w:val="SmallText"/>
      </w:pPr>
      <w:r>
        <w:t xml:space="preserve">Worldpanel 2025 national FMCG overview  </w:t>
      </w:r>
      <w:hyperlink r:id="rId18">
        <w:r>
          <w:rPr>
            <w:color w:val="166E72"/>
            <w:u w:val="single"/>
          </w:rPr>
          <w:t>View source</w:t>
        </w:r>
      </w:hyperlink>
    </w:p>
    <w:p>
      <w:pPr>
        <w:pStyle w:val="Heading1"/>
      </w:pPr>
      <w:r>
        <w:t>3. High-relevance brand portfolios</w:t>
      </w:r>
    </w:p>
    <w:p>
      <w:pPr>
        <w:pStyle w:val="Heading2"/>
      </w:pPr>
      <w:r>
        <w:t>Orion Vina | Packaged cakes, biscuits and festive assortments</w:t>
      </w:r>
    </w:p>
    <w:p>
      <w:pPr/>
      <w:r>
        <w:t>ChocoPie, Gouté, Custas and C’est Bon straddle shelf-stable household snacking, ceremonial display in selected settings, gifting and family consumption. An official ChocoPie watermelon Tết gift box containing 16 cakes (448 g) is a concrete example of seasonal format architecture.</w:t>
      </w:r>
    </w:p>
    <w:p>
      <w:pPr>
        <w:pStyle w:val="SmallText"/>
      </w:pPr>
      <w:r>
        <w:t xml:space="preserve">Orion official: ChocoPie Watermelon Tết gift box  </w:t>
      </w:r>
      <w:hyperlink r:id="rId19">
        <w:r>
          <w:rPr>
            <w:color w:val="166E72"/>
            <w:u w:val="single"/>
          </w:rPr>
          <w:t>View source</w:t>
        </w:r>
      </w:hyperlink>
    </w:p>
    <w:p>
      <w:pPr>
        <w:pStyle w:val="Heading2"/>
      </w:pPr>
      <w:r>
        <w:t>Mondelez Kinh Do | Biscuits, bakery snacks and mooncakes</w:t>
      </w:r>
    </w:p>
    <w:p>
      <w:pPr/>
      <w:r>
        <w:t>Kinh Đô mooncakes sit within a clear annual Trung Thu category; Cosy, Solite and AFC add year-round packaged snack exposure. A brand can therefore participate in both a highly specialized seasonal category and broader everyday sweets buying. Not all of those purchases are religious offerings.</w:t>
      </w:r>
    </w:p>
    <w:p>
      <w:pPr>
        <w:pStyle w:val="Heading2"/>
      </w:pPr>
      <w:r>
        <w:t>Bibica | Tết-specific pack architecture</w:t>
      </w:r>
    </w:p>
    <w:p>
      <w:pPr/>
      <w:r>
        <w:t>Bibica’s 2026 Tết catalogue separates metal tins, plastic boxes, paper boxes, gift boxes, Goody cookies, Cheery sweets and Phát Tài candies. Examples listed by Bibica include Goody Classic assorted cookie tins in multiple sizes, Cheery fruit-filled hard-candy boxes, and Phát Tài sweets with prosperity-oriented formats. This portfolio provides unusually clear product-level evidence of seasonal specialization.</w:t>
      </w:r>
    </w:p>
    <w:p>
      <w:pPr>
        <w:pStyle w:val="SmallText"/>
      </w:pPr>
      <w:r>
        <w:t xml:space="preserve">Bibica official: 2026 Tết product catalogue  </w:t>
      </w:r>
      <w:hyperlink r:id="rId20">
        <w:r>
          <w:rPr>
            <w:color w:val="166E72"/>
            <w:u w:val="single"/>
          </w:rPr>
          <w:t>View source</w:t>
        </w:r>
      </w:hyperlink>
    </w:p>
    <w:p>
      <w:pPr>
        <w:pStyle w:val="Heading2"/>
      </w:pPr>
      <w:r>
        <w:t>Trung Nguyên G7 | Instant coffee as contemporary packaged offering / hospitality</w:t>
      </w:r>
    </w:p>
    <w:p>
      <w:pPr/>
      <w:r>
        <w:t>G7 3in1, Pure Black and other ready-portioned coffee products belong primarily to beverage use and household hospitality, but photographed branded coffee on a Tết altar demonstrates an additional possible display role. The evidence supports presence in some settings, not a universal tradition.</w:t>
      </w:r>
    </w:p>
    <w:p>
      <w:pPr>
        <w:pStyle w:val="Heading2"/>
      </w:pPr>
      <w:r>
        <w:t>Vissan and Saigon Co.op | Ritual meals and occasion-ready food</w:t>
      </w:r>
    </w:p>
    <w:p>
      <w:pPr/>
      <w:r>
        <w:t>Vissan’s packaged meat universe is relevant to preparation of ceremonial family meals. Saigon Co.op has explicit evidence of occasion-specific products, including ancestral offering trays in vegetarian and non-vegetarian versions, and ready-prepared tam sên. In contrast with packaged snacks, these products directly address assembling the ritual meal.</w:t>
      </w:r>
    </w:p>
    <w:p>
      <w:pPr>
        <w:pStyle w:val="SmallText"/>
      </w:pPr>
      <w:r>
        <w:t xml:space="preserve">Saigon Co.op official/public-sector description of 2025 seasonal assortments  </w:t>
      </w:r>
      <w:hyperlink r:id="rId21">
        <w:r>
          <w:rPr>
            <w:color w:val="166E72"/>
            <w:u w:val="single"/>
          </w:rPr>
          <w:t>View source</w:t>
        </w:r>
      </w:hyperlink>
    </w:p>
    <w:p>
      <w:pPr>
        <w:pStyle w:val="Heading1"/>
      </w:pPr>
      <w:r>
        <w:t>4. Occasion × category intelligence</w:t>
      </w:r>
    </w:p>
    <w:p>
      <w:pPr>
        <w:spacing w:after="40"/>
        <w:jc w:val="center"/>
      </w:pPr>
      <w:r>
        <w:drawing>
          <wp:inline xmlns:a="http://schemas.openxmlformats.org/drawingml/2006/main" xmlns:pic="http://schemas.openxmlformats.org/drawingml/2006/picture">
            <wp:extent cx="6120000" cy="4259189"/>
            <wp:docPr id="4" name="Picture 4"/>
            <wp:cNvGraphicFramePr>
              <a:graphicFrameLocks noChangeAspect="1"/>
            </wp:cNvGraphicFramePr>
            <a:graphic>
              <a:graphicData uri="http://schemas.openxmlformats.org/drawingml/2006/picture">
                <pic:pic>
                  <pic:nvPicPr>
                    <pic:cNvPr id="0" name="occasion_atlas.png"/>
                    <pic:cNvPicPr/>
                  </pic:nvPicPr>
                  <pic:blipFill>
                    <a:blip r:embed="rId22"/>
                    <a:stretch>
                      <a:fillRect/>
                    </a:stretch>
                  </pic:blipFill>
                  <pic:spPr>
                    <a:xfrm>
                      <a:off x="0" y="0"/>
                      <a:ext cx="6120000" cy="4259189"/>
                    </a:xfrm>
                    <a:prstGeom prst="rect"/>
                  </pic:spPr>
                </pic:pic>
              </a:graphicData>
            </a:graphic>
          </wp:inline>
        </w:drawing>
      </w:r>
    </w:p>
    <w:p>
      <w:pPr>
        <w:pStyle w:val="SmallText"/>
      </w:pPr>
      <w:r>
        <w:t>Figure 3. Six principal occasion clusters. Original illustrative cards, not photographs or packshots.</w:t>
      </w:r>
    </w:p>
    <w:p>
      <w:pPr>
        <w:pStyle w:val="Heading2"/>
      </w:pPr>
      <w:r>
        <w:t>A. Tết Nguyên Đán</w:t>
      </w:r>
    </w:p>
    <w:p>
      <w:pPr/>
      <w:r>
        <w:t>The broadest FMCG basket in the study. Ancestral display, hospitality, gift-giving and ceremonial meals occur together but should be separated analytically.</w:t>
      </w:r>
    </w:p>
    <w:p>
      <w:r>
        <w:rPr>
          <w:b/>
        </w:rPr>
        <w:t xml:space="preserve">Categories: </w:t>
      </w:r>
      <w:r>
        <w:t>Soft drinks, beer, confectionery, biscuits, dried fruit, nuts, cakes, prepared foods, cooking staples.</w:t>
      </w:r>
    </w:p>
    <w:p>
      <w:r>
        <w:rPr>
          <w:b/>
        </w:rPr>
        <w:t xml:space="preserve">Relevant brand universe: </w:t>
      </w:r>
      <w:r>
        <w:t>Coca-Cola, Pepsi, Orion, Kinh Đô, Bibica, Danisa, Vinamit, Lafooco, Vissan, Saigon Co.op, Bia Saigon, Tiger.</w:t>
      </w:r>
    </w:p>
    <w:p>
      <w:r>
        <w:rPr>
          <w:b/>
        </w:rPr>
        <w:t xml:space="preserve">Representative products: </w:t>
      </w:r>
      <w:r>
        <w:t>Coca-Cola cans; ChocoPie; Cosy biscuits; Goody cookie tins; wrapped candies; dried fruit; bánh chưng / bánh tét; chả lụa; ready-made meal trays.</w:t>
      </w:r>
    </w:p>
    <w:p>
      <w:pPr>
        <w:pStyle w:val="Heading2"/>
      </w:pPr>
      <w:r>
        <w:t>B. Mùng 1 and Rằm</w:t>
      </w:r>
    </w:p>
    <w:p>
      <w:pPr/>
      <w:r>
        <w:t>Recurring first and fifteenth lunar-day observances; generally smaller and more frequent purchase baskets than Tết.</w:t>
      </w:r>
    </w:p>
    <w:p>
      <w:r>
        <w:rPr>
          <w:b/>
        </w:rPr>
        <w:t xml:space="preserve">Categories: </w:t>
      </w:r>
      <w:r>
        <w:t>Fruit, bottled water, tea, flowers, sometimes cakes and vegetarian foods.</w:t>
      </w:r>
    </w:p>
    <w:p>
      <w:r>
        <w:rPr>
          <w:b/>
        </w:rPr>
        <w:t xml:space="preserve">Relevant brand universe: </w:t>
      </w:r>
      <w:r>
        <w:t>Aquafina, La Vie, Cozy, regional tea suppliers and locally made cakes.</w:t>
      </w:r>
    </w:p>
    <w:p>
      <w:r>
        <w:rPr>
          <w:b/>
        </w:rPr>
        <w:t xml:space="preserve">Representative products: </w:t>
      </w:r>
      <w:r>
        <w:t>Small water bottles; green/lotus tea; fruit; simple cakes; vegetarian products depending on household.</w:t>
      </w:r>
    </w:p>
    <w:p>
      <w:pPr>
        <w:pStyle w:val="Heading2"/>
      </w:pPr>
      <w:r>
        <w:t>C. Giỗ | Ancestor death anniversary</w:t>
      </w:r>
    </w:p>
    <w:p>
      <w:pPr/>
      <w:r>
        <w:t>Household-specific family commemoration that can involve an elaborate meal, guests and remembrance rituals.</w:t>
      </w:r>
    </w:p>
    <w:p>
      <w:r>
        <w:rPr>
          <w:b/>
        </w:rPr>
        <w:t xml:space="preserve">Categories: </w:t>
      </w:r>
      <w:r>
        <w:t>Rice, meat, processed foods, sauces, tea, bottled water, soft drinks, beer, occasionally sweets.</w:t>
      </w:r>
    </w:p>
    <w:p>
      <w:r>
        <w:rPr>
          <w:b/>
        </w:rPr>
        <w:t xml:space="preserve">Relevant brand universe: </w:t>
      </w:r>
      <w:r>
        <w:t>Vissan, Cầu Tre, CHIN-SU, Nam Ngư, Cholimex, Neptune, Coca-Cola, Pepsi, regional beer brands.</w:t>
      </w:r>
    </w:p>
    <w:p>
      <w:r>
        <w:rPr>
          <w:b/>
        </w:rPr>
        <w:t xml:space="preserve">Representative products: </w:t>
      </w:r>
      <w:r>
        <w:t>Chả lụa; chả giò; cooked meat; rice; prepared family dishes; tea and hosting beverages.</w:t>
      </w:r>
    </w:p>
    <w:p>
      <w:pPr>
        <w:pStyle w:val="Heading2"/>
      </w:pPr>
      <w:r>
        <w:t>D. Vu Lan / Rằm tháng Bảy</w:t>
      </w:r>
    </w:p>
    <w:p>
      <w:pPr/>
      <w:r>
        <w:t>Combines Buddhist observance, filial gratitude and ancestor remembrance. Need to distinguish vegetarian household eating from foods placed on an altar.</w:t>
      </w:r>
    </w:p>
    <w:p>
      <w:r>
        <w:rPr>
          <w:b/>
        </w:rPr>
        <w:t xml:space="preserve">Categories: </w:t>
      </w:r>
      <w:r>
        <w:t>Prepared vegetarian meals, tofu, mushrooms, rice dishes, chè, fruit, tea, water.</w:t>
      </w:r>
    </w:p>
    <w:p>
      <w:r>
        <w:rPr>
          <w:b/>
        </w:rPr>
        <w:t xml:space="preserve">Relevant brand universe: </w:t>
      </w:r>
      <w:r>
        <w:t>Local vegetarian specialists and supermarkets; Vifon/Hảo Hảo vegetarian convenience products for adjacent home eating.</w:t>
      </w:r>
    </w:p>
    <w:p>
      <w:r>
        <w:rPr>
          <w:b/>
        </w:rPr>
        <w:t xml:space="preserve">Representative products: </w:t>
      </w:r>
      <w:r>
        <w:t>Vegetarian ceremonial trays, tofu/mushroom dishes, sticky rice, fruit, tea; vegetarian noodles more often consumption products.</w:t>
      </w:r>
    </w:p>
    <w:p>
      <w:pPr>
        <w:pStyle w:val="Heading2"/>
      </w:pPr>
      <w:r>
        <w:t>E. Vía Thần Tài</w:t>
      </w:r>
    </w:p>
    <w:p>
      <w:pPr/>
      <w:r>
        <w:t>Tenth day of the first lunar month; household/business prosperity observance rather than a Buddha offering.</w:t>
      </w:r>
    </w:p>
    <w:p>
      <w:r>
        <w:rPr>
          <w:b/>
        </w:rPr>
        <w:t xml:space="preserve">Categories: </w:t>
      </w:r>
      <w:r>
        <w:t>Pork, eggs, shrimp/crab, fish, fruit, tea, water and prepared offering sets.</w:t>
      </w:r>
    </w:p>
    <w:p>
      <w:r>
        <w:rPr>
          <w:b/>
        </w:rPr>
        <w:t xml:space="preserve">Relevant brand universe: </w:t>
      </w:r>
      <w:r>
        <w:t>Vissan, fresh markets, supermarkets and local preparers; Saigon Co.op’s ready tam sên is directly relevant.</w:t>
      </w:r>
    </w:p>
    <w:p>
      <w:r>
        <w:rPr>
          <w:b/>
        </w:rPr>
        <w:t xml:space="preserve">Representative products: </w:t>
      </w:r>
      <w:r>
        <w:t>Bộ tam sên, roast/boiled meat or fish in some regions, fruit and drinks.</w:t>
      </w:r>
    </w:p>
    <w:p>
      <w:pPr>
        <w:pStyle w:val="Heading2"/>
      </w:pPr>
      <w:r>
        <w:t>F. Tết Trung Thu</w:t>
      </w:r>
    </w:p>
    <w:p>
      <w:pPr/>
      <w:r>
        <w:t>The most product-specialized sweet-cake occasion, involving offerings in some households as well as substantial gifting and family consumption.</w:t>
      </w:r>
    </w:p>
    <w:p>
      <w:r>
        <w:rPr>
          <w:b/>
        </w:rPr>
        <w:t xml:space="preserve">Categories: </w:t>
      </w:r>
      <w:r>
        <w:t>Mooncakes, tea, fruit, gift confectionery.</w:t>
      </w:r>
    </w:p>
    <w:p>
      <w:r>
        <w:rPr>
          <w:b/>
        </w:rPr>
        <w:t xml:space="preserve">Relevant brand universe: </w:t>
      </w:r>
      <w:r>
        <w:t>Kinh Đô, Bibica, Hữu Nghị, Bảo Phương, Givral, Brodard, Như Lan, Đồng Khánh, Đại Phát.</w:t>
      </w:r>
    </w:p>
    <w:p>
      <w:r>
        <w:rPr>
          <w:b/>
        </w:rPr>
        <w:t xml:space="preserve">Representative products: </w:t>
      </w:r>
      <w:r>
        <w:t>Bánh nướng, bánh dẻo; mixed-nut/lotus/mung-bean fillings; gift boxes; tea.</w:t>
      </w:r>
    </w:p>
    <w:p>
      <w:pPr>
        <w:pStyle w:val="Heading2"/>
      </w:pPr>
      <w:r>
        <w:t>Other significant occasions</w:t>
      </w:r>
    </w:p>
    <w:tbl>
      <w:tblPr>
        <w:tblW w:type="auto" w:w="0"/>
        <w:jc w:val="center"/>
        <w:tblLayout w:type="fixed"/>
        <w:tblLook w:firstColumn="1" w:firstRow="1" w:lastColumn="0" w:lastRow="0" w:noHBand="0" w:noVBand="1" w:val="04A0"/>
      </w:tblPr>
      <w:tblGrid>
        <w:gridCol w:w="2324"/>
        <w:gridCol w:w="3402"/>
        <w:gridCol w:w="3912"/>
      </w:tblGrid>
      <w:tr>
        <w:trPr>
          <w:tblHeader w:val="true"/>
        </w:trPr>
        <w:tc>
          <w:tcPr>
            <w:tcW w:type="dxa" w:w="2324"/>
            <w:shd w:fill="153342"/>
            <w:vAlign w:val="center"/>
          </w:tcPr>
          <w:p>
            <w:pPr>
              <w:spacing w:after="40"/>
            </w:pPr>
            <w:r>
              <w:rPr>
                <w:b/>
                <w:color w:val="FFFFFF"/>
                <w:sz w:val="14"/>
              </w:rPr>
              <w:t>Occasion</w:t>
            </w:r>
          </w:p>
        </w:tc>
        <w:tc>
          <w:tcPr>
            <w:tcW w:type="dxa" w:w="3402"/>
            <w:shd w:fill="153342"/>
            <w:vAlign w:val="center"/>
          </w:tcPr>
          <w:p>
            <w:pPr>
              <w:spacing w:after="40"/>
            </w:pPr>
            <w:r>
              <w:rPr>
                <w:b/>
                <w:color w:val="FFFFFF"/>
                <w:sz w:val="14"/>
              </w:rPr>
              <w:t>Product mix</w:t>
            </w:r>
          </w:p>
        </w:tc>
        <w:tc>
          <w:tcPr>
            <w:tcW w:type="dxa" w:w="3912"/>
            <w:shd w:fill="153342"/>
            <w:vAlign w:val="center"/>
          </w:tcPr>
          <w:p>
            <w:pPr>
              <w:spacing w:after="40"/>
            </w:pPr>
            <w:r>
              <w:rPr>
                <w:b/>
                <w:color w:val="FFFFFF"/>
                <w:sz w:val="14"/>
              </w:rPr>
              <w:t>Most relevant FMCG competitive lens</w:t>
            </w:r>
          </w:p>
        </w:tc>
      </w:tr>
      <w:tr>
        <w:tc>
          <w:tcPr>
            <w:tcW w:type="dxa" w:w="2324"/>
            <w:vAlign w:val="top"/>
            <w:shd w:fill="F1F6F5"/>
          </w:tcPr>
          <w:p>
            <w:pPr>
              <w:spacing w:after="30" w:before="30" w:line="247" w:lineRule="auto"/>
            </w:pPr>
            <w:r>
              <w:rPr>
                <w:color w:val="20313A"/>
                <w:sz w:val="14"/>
              </w:rPr>
              <w:t>Ông Công Ông Táo</w:t>
            </w:r>
          </w:p>
        </w:tc>
        <w:tc>
          <w:tcPr>
            <w:tcW w:type="dxa" w:w="3402"/>
            <w:vAlign w:val="top"/>
            <w:shd w:fill="F1F6F5"/>
          </w:tcPr>
          <w:p>
            <w:pPr>
              <w:spacing w:after="30" w:before="30" w:line="247" w:lineRule="auto"/>
            </w:pPr>
            <w:r>
              <w:rPr>
                <w:color w:val="20313A"/>
                <w:sz w:val="14"/>
              </w:rPr>
              <w:t>Ceremonial dishes, sticky rice, fruit, cakes, water/tea</w:t>
            </w:r>
          </w:p>
        </w:tc>
        <w:tc>
          <w:tcPr>
            <w:tcW w:type="dxa" w:w="3912"/>
            <w:vAlign w:val="top"/>
            <w:shd w:fill="F1F6F5"/>
          </w:tcPr>
          <w:p>
            <w:pPr>
              <w:spacing w:after="30" w:before="30" w:line="247" w:lineRule="auto"/>
            </w:pPr>
            <w:r>
              <w:rPr>
                <w:color w:val="20313A"/>
                <w:sz w:val="14"/>
              </w:rPr>
              <w:t>Traditional prepared foods, ingredients, local sellers and supermarkets</w:t>
            </w:r>
          </w:p>
        </w:tc>
      </w:tr>
      <w:tr>
        <w:tc>
          <w:tcPr>
            <w:tcW w:type="dxa" w:w="2324"/>
            <w:vAlign w:val="top"/>
          </w:tcPr>
          <w:p>
            <w:pPr>
              <w:spacing w:after="30" w:before="30" w:line="247" w:lineRule="auto"/>
            </w:pPr>
            <w:r>
              <w:rPr>
                <w:color w:val="20313A"/>
                <w:sz w:val="14"/>
              </w:rPr>
              <w:t>Rằm tháng Giêng</w:t>
            </w:r>
          </w:p>
        </w:tc>
        <w:tc>
          <w:tcPr>
            <w:tcW w:type="dxa" w:w="3402"/>
            <w:vAlign w:val="top"/>
          </w:tcPr>
          <w:p>
            <w:pPr>
              <w:spacing w:after="30" w:before="30" w:line="247" w:lineRule="auto"/>
            </w:pPr>
            <w:r>
              <w:rPr>
                <w:color w:val="20313A"/>
                <w:sz w:val="14"/>
              </w:rPr>
              <w:t>Fruit, tea, water, vegetarian foods, sweets</w:t>
            </w:r>
          </w:p>
        </w:tc>
        <w:tc>
          <w:tcPr>
            <w:tcW w:type="dxa" w:w="3912"/>
            <w:vAlign w:val="top"/>
          </w:tcPr>
          <w:p>
            <w:pPr>
              <w:spacing w:after="30" w:before="30" w:line="247" w:lineRule="auto"/>
            </w:pPr>
            <w:r>
              <w:rPr>
                <w:color w:val="20313A"/>
                <w:sz w:val="14"/>
              </w:rPr>
              <w:t>Water, tea, vegetarian dishes and specialist local foods</w:t>
            </w:r>
          </w:p>
        </w:tc>
      </w:tr>
      <w:tr>
        <w:tc>
          <w:tcPr>
            <w:tcW w:type="dxa" w:w="2324"/>
            <w:vAlign w:val="top"/>
            <w:shd w:fill="F1F6F5"/>
          </w:tcPr>
          <w:p>
            <w:pPr>
              <w:spacing w:after="30" w:before="30" w:line="247" w:lineRule="auto"/>
            </w:pPr>
            <w:r>
              <w:rPr>
                <w:color w:val="20313A"/>
                <w:sz w:val="14"/>
              </w:rPr>
              <w:t>Phật Đản / Vesak</w:t>
            </w:r>
          </w:p>
        </w:tc>
        <w:tc>
          <w:tcPr>
            <w:tcW w:type="dxa" w:w="3402"/>
            <w:vAlign w:val="top"/>
            <w:shd w:fill="F1F6F5"/>
          </w:tcPr>
          <w:p>
            <w:pPr>
              <w:spacing w:after="30" w:before="30" w:line="247" w:lineRule="auto"/>
            </w:pPr>
            <w:r>
              <w:rPr>
                <w:color w:val="20313A"/>
                <w:sz w:val="14"/>
              </w:rPr>
              <w:t>Fruit, flowers, tea, water, vegetarian food</w:t>
            </w:r>
          </w:p>
        </w:tc>
        <w:tc>
          <w:tcPr>
            <w:tcW w:type="dxa" w:w="3912"/>
            <w:vAlign w:val="top"/>
            <w:shd w:fill="F1F6F5"/>
          </w:tcPr>
          <w:p>
            <w:pPr>
              <w:spacing w:after="30" w:before="30" w:line="247" w:lineRule="auto"/>
            </w:pPr>
            <w:r>
              <w:rPr>
                <w:color w:val="20313A"/>
                <w:sz w:val="14"/>
              </w:rPr>
              <w:t>Bottled water and tea, fruit, vegetarian specialists</w:t>
            </w:r>
          </w:p>
        </w:tc>
      </w:tr>
      <w:tr>
        <w:tc>
          <w:tcPr>
            <w:tcW w:type="dxa" w:w="2324"/>
            <w:vAlign w:val="top"/>
          </w:tcPr>
          <w:p>
            <w:pPr>
              <w:spacing w:after="30" w:before="30" w:line="247" w:lineRule="auto"/>
            </w:pPr>
            <w:r>
              <w:rPr>
                <w:color w:val="20313A"/>
                <w:sz w:val="14"/>
              </w:rPr>
              <w:t>Đoan Ngọ</w:t>
            </w:r>
          </w:p>
        </w:tc>
        <w:tc>
          <w:tcPr>
            <w:tcW w:type="dxa" w:w="3402"/>
            <w:vAlign w:val="top"/>
          </w:tcPr>
          <w:p>
            <w:pPr>
              <w:spacing w:after="30" w:before="30" w:line="247" w:lineRule="auto"/>
            </w:pPr>
            <w:r>
              <w:rPr>
                <w:color w:val="20313A"/>
                <w:sz w:val="14"/>
              </w:rPr>
              <w:t>Fermented sticky rice, seasonal fruit, traditional cakes</w:t>
            </w:r>
          </w:p>
        </w:tc>
        <w:tc>
          <w:tcPr>
            <w:tcW w:type="dxa" w:w="3912"/>
            <w:vAlign w:val="top"/>
          </w:tcPr>
          <w:p>
            <w:pPr>
              <w:spacing w:after="30" w:before="30" w:line="247" w:lineRule="auto"/>
            </w:pPr>
            <w:r>
              <w:rPr>
                <w:color w:val="20313A"/>
                <w:sz w:val="14"/>
              </w:rPr>
              <w:t>Local/independent specialty producers</w:t>
            </w:r>
          </w:p>
        </w:tc>
      </w:tr>
      <w:tr>
        <w:tc>
          <w:tcPr>
            <w:tcW w:type="dxa" w:w="2324"/>
            <w:vAlign w:val="top"/>
            <w:shd w:fill="F1F6F5"/>
          </w:tcPr>
          <w:p>
            <w:pPr>
              <w:spacing w:after="30" w:before="30" w:line="247" w:lineRule="auto"/>
            </w:pPr>
            <w:r>
              <w:rPr>
                <w:color w:val="20313A"/>
                <w:sz w:val="14"/>
              </w:rPr>
              <w:t>Khai trương / opening ceremony</w:t>
            </w:r>
          </w:p>
        </w:tc>
        <w:tc>
          <w:tcPr>
            <w:tcW w:type="dxa" w:w="3402"/>
            <w:vAlign w:val="top"/>
            <w:shd w:fill="F1F6F5"/>
          </w:tcPr>
          <w:p>
            <w:pPr>
              <w:spacing w:after="30" w:before="30" w:line="247" w:lineRule="auto"/>
            </w:pPr>
            <w:r>
              <w:rPr>
                <w:color w:val="20313A"/>
                <w:sz w:val="14"/>
              </w:rPr>
              <w:t>Fruit, coconut, flowers, sweets, drinks, sometimes meat dishes</w:t>
            </w:r>
          </w:p>
        </w:tc>
        <w:tc>
          <w:tcPr>
            <w:tcW w:type="dxa" w:w="3912"/>
            <w:vAlign w:val="top"/>
            <w:shd w:fill="F1F6F5"/>
          </w:tcPr>
          <w:p>
            <w:pPr>
              <w:spacing w:after="30" w:before="30" w:line="247" w:lineRule="auto"/>
            </w:pPr>
            <w:r>
              <w:rPr>
                <w:color w:val="20313A"/>
                <w:sz w:val="14"/>
              </w:rPr>
              <w:t>Fresh suppliers, soft drinks, prepared ceremonial sets</w:t>
            </w:r>
          </w:p>
        </w:tc>
      </w:tr>
      <w:tr>
        <w:tc>
          <w:tcPr>
            <w:tcW w:type="dxa" w:w="2324"/>
            <w:vAlign w:val="top"/>
          </w:tcPr>
          <w:p>
            <w:pPr>
              <w:spacing w:after="30" w:before="30" w:line="247" w:lineRule="auto"/>
            </w:pPr>
            <w:r>
              <w:rPr>
                <w:color w:val="20313A"/>
                <w:sz w:val="14"/>
              </w:rPr>
              <w:t>Routine Thần Tài altar care</w:t>
            </w:r>
          </w:p>
        </w:tc>
        <w:tc>
          <w:tcPr>
            <w:tcW w:type="dxa" w:w="3402"/>
            <w:vAlign w:val="top"/>
          </w:tcPr>
          <w:p>
            <w:pPr>
              <w:spacing w:after="30" w:before="30" w:line="247" w:lineRule="auto"/>
            </w:pPr>
            <w:r>
              <w:rPr>
                <w:color w:val="20313A"/>
                <w:sz w:val="14"/>
              </w:rPr>
              <w:t>Water, tea, fruit, sweets, occasional coffee</w:t>
            </w:r>
          </w:p>
        </w:tc>
        <w:tc>
          <w:tcPr>
            <w:tcW w:type="dxa" w:w="3912"/>
            <w:vAlign w:val="top"/>
          </w:tcPr>
          <w:p>
            <w:pPr>
              <w:spacing w:after="30" w:before="30" w:line="247" w:lineRule="auto"/>
            </w:pPr>
            <w:r>
              <w:rPr>
                <w:color w:val="20313A"/>
                <w:sz w:val="14"/>
              </w:rPr>
              <w:t>Water, tea, coffee and confectionery competitors</w:t>
            </w:r>
          </w:p>
        </w:tc>
      </w:tr>
    </w:tbl>
    <w:p>
      <w:pPr>
        <w:spacing w:after="0"/>
      </w:pPr>
    </w:p>
    <w:p>
      <w:pPr>
        <w:pStyle w:val="SmallText"/>
      </w:pPr>
      <w:r>
        <w:t xml:space="preserve">VietnamPlus: Vu Lan ready-made offering and online-delivery demand (August 2026)  </w:t>
      </w:r>
      <w:hyperlink r:id="rId23">
        <w:r>
          <w:rPr>
            <w:color w:val="166E72"/>
            <w:u w:val="single"/>
          </w:rPr>
          <w:t>View source</w:t>
        </w:r>
      </w:hyperlink>
    </w:p>
    <w:p>
      <w:pPr>
        <w:pStyle w:val="Heading1"/>
      </w:pPr>
      <w:r>
        <w:t>5. Occasion × category relevance matrix</w:t>
      </w:r>
    </w:p>
    <w:p>
      <w:pPr>
        <w:spacing w:after="40"/>
        <w:jc w:val="center"/>
      </w:pPr>
      <w:r>
        <w:drawing>
          <wp:inline xmlns:a="http://schemas.openxmlformats.org/drawingml/2006/main" xmlns:pic="http://schemas.openxmlformats.org/drawingml/2006/picture">
            <wp:extent cx="6192000" cy="4045440"/>
            <wp:docPr id="5" name="Picture 5"/>
            <wp:cNvGraphicFramePr>
              <a:graphicFrameLocks noChangeAspect="1"/>
            </wp:cNvGraphicFramePr>
            <a:graphic>
              <a:graphicData uri="http://schemas.openxmlformats.org/drawingml/2006/picture">
                <pic:pic>
                  <pic:nvPicPr>
                    <pic:cNvPr id="0" name="heatmap.png"/>
                    <pic:cNvPicPr/>
                  </pic:nvPicPr>
                  <pic:blipFill>
                    <a:blip r:embed="rId24"/>
                    <a:stretch>
                      <a:fillRect/>
                    </a:stretch>
                  </pic:blipFill>
                  <pic:spPr>
                    <a:xfrm>
                      <a:off x="0" y="0"/>
                      <a:ext cx="6192000" cy="4045440"/>
                    </a:xfrm>
                    <a:prstGeom prst="rect"/>
                  </pic:spPr>
                </pic:pic>
              </a:graphicData>
            </a:graphic>
          </wp:inline>
        </w:drawing>
      </w:r>
    </w:p>
    <w:p>
      <w:pPr>
        <w:pStyle w:val="SmallText"/>
      </w:pPr>
      <w:r>
        <w:t>Figure 4. Qualitative analyst heatmap. Green = core/recurrent relevance; amber = secondary or conditional; grey = not a typical fit. This is not measured penetration or sales.</w:t>
      </w:r>
    </w:p>
    <w:p>
      <w:pPr/>
      <w:r>
        <w:t>Water and tea are relevant across many observances, whereas mooncakes are tightly concentrated around Trung Thu. Cooking staples play a supporting role in meal preparation even where they are not displayed directly. Beer must be differentiated between family feasts, ancestor/folk altars and Buddhist temple/Buddha offerings.</w:t>
      </w:r>
    </w:p>
    <w:p>
      <w:pPr>
        <w:pStyle w:val="Heading1"/>
      </w:pPr>
      <w:r>
        <w:t>6. Regional FMCG distinctions</w:t>
      </w:r>
    </w:p>
    <w:p>
      <w:pPr>
        <w:spacing w:after="40"/>
        <w:jc w:val="center"/>
      </w:pPr>
      <w:r>
        <w:drawing>
          <wp:inline xmlns:a="http://schemas.openxmlformats.org/drawingml/2006/main" xmlns:pic="http://schemas.openxmlformats.org/drawingml/2006/picture">
            <wp:extent cx="6192000" cy="2907730"/>
            <wp:docPr id="6" name="Picture 6"/>
            <wp:cNvGraphicFramePr>
              <a:graphicFrameLocks noChangeAspect="1"/>
            </wp:cNvGraphicFramePr>
            <a:graphic>
              <a:graphicData uri="http://schemas.openxmlformats.org/drawingml/2006/picture">
                <pic:pic>
                  <pic:nvPicPr>
                    <pic:cNvPr id="0" name="regions.png"/>
                    <pic:cNvPicPr/>
                  </pic:nvPicPr>
                  <pic:blipFill>
                    <a:blip r:embed="rId25"/>
                    <a:stretch>
                      <a:fillRect/>
                    </a:stretch>
                  </pic:blipFill>
                  <pic:spPr>
                    <a:xfrm>
                      <a:off x="0" y="0"/>
                      <a:ext cx="6192000" cy="2907730"/>
                    </a:xfrm>
                    <a:prstGeom prst="rect"/>
                  </pic:spPr>
                </pic:pic>
              </a:graphicData>
            </a:graphic>
          </wp:inline>
        </w:drawing>
      </w:r>
    </w:p>
    <w:p>
      <w:pPr>
        <w:pStyle w:val="SmallText"/>
      </w:pPr>
      <w:r>
        <w:t>Figure 5. Three regional food repertoires. Schematic illustrations; regional specifics vary by household and province.</w:t>
      </w:r>
    </w:p>
    <w:tbl>
      <w:tblPr>
        <w:tblW w:type="auto" w:w="0"/>
        <w:jc w:val="center"/>
        <w:tblLayout w:type="fixed"/>
        <w:tblLook w:firstColumn="1" w:firstRow="1" w:lastColumn="0" w:lastRow="0" w:noHBand="0" w:noVBand="1" w:val="04A0"/>
      </w:tblPr>
      <w:tblGrid>
        <w:gridCol w:w="1814"/>
        <w:gridCol w:w="2580"/>
        <w:gridCol w:w="2580"/>
        <w:gridCol w:w="2665"/>
      </w:tblGrid>
      <w:tr>
        <w:trPr>
          <w:tblHeader w:val="true"/>
        </w:trPr>
        <w:tc>
          <w:tcPr>
            <w:tcW w:type="dxa" w:w="1814"/>
            <w:shd w:fill="153342"/>
            <w:vAlign w:val="center"/>
          </w:tcPr>
          <w:p>
            <w:pPr>
              <w:spacing w:after="40"/>
            </w:pPr>
            <w:r>
              <w:rPr>
                <w:b/>
                <w:color w:val="FFFFFF"/>
                <w:sz w:val="13"/>
              </w:rPr>
              <w:t>Dimension</w:t>
            </w:r>
          </w:p>
        </w:tc>
        <w:tc>
          <w:tcPr>
            <w:tcW w:type="dxa" w:w="2580"/>
            <w:shd w:fill="153342"/>
            <w:vAlign w:val="center"/>
          </w:tcPr>
          <w:p>
            <w:pPr>
              <w:spacing w:after="40"/>
            </w:pPr>
            <w:r>
              <w:rPr>
                <w:b/>
                <w:color w:val="FFFFFF"/>
                <w:sz w:val="13"/>
              </w:rPr>
              <w:t>North</w:t>
            </w:r>
          </w:p>
        </w:tc>
        <w:tc>
          <w:tcPr>
            <w:tcW w:type="dxa" w:w="2580"/>
            <w:shd w:fill="153342"/>
            <w:vAlign w:val="center"/>
          </w:tcPr>
          <w:p>
            <w:pPr>
              <w:spacing w:after="40"/>
            </w:pPr>
            <w:r>
              <w:rPr>
                <w:b/>
                <w:color w:val="FFFFFF"/>
                <w:sz w:val="13"/>
              </w:rPr>
              <w:t>Central</w:t>
            </w:r>
          </w:p>
        </w:tc>
        <w:tc>
          <w:tcPr>
            <w:tcW w:type="dxa" w:w="2665"/>
            <w:shd w:fill="153342"/>
            <w:vAlign w:val="center"/>
          </w:tcPr>
          <w:p>
            <w:pPr>
              <w:spacing w:after="40"/>
            </w:pPr>
            <w:r>
              <w:rPr>
                <w:b/>
                <w:color w:val="FFFFFF"/>
                <w:sz w:val="13"/>
              </w:rPr>
              <w:t>South</w:t>
            </w:r>
          </w:p>
        </w:tc>
      </w:tr>
      <w:tr>
        <w:tc>
          <w:tcPr>
            <w:tcW w:type="dxa" w:w="1814"/>
            <w:vAlign w:val="top"/>
            <w:shd w:fill="F1F6F5"/>
          </w:tcPr>
          <w:p>
            <w:pPr>
              <w:spacing w:after="30" w:before="30" w:line="247" w:lineRule="auto"/>
            </w:pPr>
            <w:r>
              <w:rPr>
                <w:color w:val="20313A"/>
                <w:sz w:val="13"/>
              </w:rPr>
              <w:t>Tết core foods</w:t>
            </w:r>
          </w:p>
        </w:tc>
        <w:tc>
          <w:tcPr>
            <w:tcW w:type="dxa" w:w="2580"/>
            <w:vAlign w:val="top"/>
            <w:shd w:fill="F1F6F5"/>
          </w:tcPr>
          <w:p>
            <w:pPr>
              <w:spacing w:after="30" w:before="30" w:line="247" w:lineRule="auto"/>
            </w:pPr>
            <w:r>
              <w:rPr>
                <w:color w:val="20313A"/>
                <w:sz w:val="13"/>
              </w:rPr>
              <w:t>Bánh chưng, giò lụa, thịt đông, dưa hành</w:t>
            </w:r>
          </w:p>
        </w:tc>
        <w:tc>
          <w:tcPr>
            <w:tcW w:type="dxa" w:w="2580"/>
            <w:vAlign w:val="top"/>
            <w:shd w:fill="F1F6F5"/>
          </w:tcPr>
          <w:p>
            <w:pPr>
              <w:spacing w:after="30" w:before="30" w:line="247" w:lineRule="auto"/>
            </w:pPr>
            <w:r>
              <w:rPr>
                <w:color w:val="20313A"/>
                <w:sz w:val="13"/>
              </w:rPr>
              <w:t>Bánh tét, dưa món, chả bò and local preserves</w:t>
            </w:r>
          </w:p>
        </w:tc>
        <w:tc>
          <w:tcPr>
            <w:tcW w:type="dxa" w:w="2665"/>
            <w:vAlign w:val="top"/>
            <w:shd w:fill="F1F6F5"/>
          </w:tcPr>
          <w:p>
            <w:pPr>
              <w:spacing w:after="30" w:before="30" w:line="247" w:lineRule="auto"/>
            </w:pPr>
            <w:r>
              <w:rPr>
                <w:color w:val="20313A"/>
                <w:sz w:val="13"/>
              </w:rPr>
              <w:t>Bánh tét, thịt kho trứng, củ kiệu, canh khổ qua</w:t>
            </w:r>
          </w:p>
        </w:tc>
      </w:tr>
      <w:tr>
        <w:tc>
          <w:tcPr>
            <w:tcW w:type="dxa" w:w="1814"/>
            <w:vAlign w:val="top"/>
          </w:tcPr>
          <w:p>
            <w:pPr>
              <w:spacing w:after="30" w:before="30" w:line="247" w:lineRule="auto"/>
            </w:pPr>
            <w:r>
              <w:rPr>
                <w:color w:val="20313A"/>
                <w:sz w:val="13"/>
              </w:rPr>
              <w:t>Fruit displays</w:t>
            </w:r>
          </w:p>
        </w:tc>
        <w:tc>
          <w:tcPr>
            <w:tcW w:type="dxa" w:w="2580"/>
            <w:vAlign w:val="top"/>
          </w:tcPr>
          <w:p>
            <w:pPr>
              <w:spacing w:after="30" w:before="30" w:line="247" w:lineRule="auto"/>
            </w:pPr>
            <w:r>
              <w:rPr>
                <w:color w:val="20313A"/>
                <w:sz w:val="13"/>
              </w:rPr>
              <w:t>Bananas, pomelo, citrus and seasonal fruit</w:t>
            </w:r>
          </w:p>
        </w:tc>
        <w:tc>
          <w:tcPr>
            <w:tcW w:type="dxa" w:w="2580"/>
            <w:vAlign w:val="top"/>
          </w:tcPr>
          <w:p>
            <w:pPr>
              <w:spacing w:after="30" w:before="30" w:line="247" w:lineRule="auto"/>
            </w:pPr>
            <w:r>
              <w:rPr>
                <w:color w:val="20313A"/>
                <w:sz w:val="13"/>
              </w:rPr>
              <w:t>Varies strongly by local supply and custom</w:t>
            </w:r>
          </w:p>
        </w:tc>
        <w:tc>
          <w:tcPr>
            <w:tcW w:type="dxa" w:w="2665"/>
            <w:vAlign w:val="top"/>
          </w:tcPr>
          <w:p>
            <w:pPr>
              <w:spacing w:after="30" w:before="30" w:line="247" w:lineRule="auto"/>
            </w:pPr>
            <w:r>
              <w:rPr>
                <w:color w:val="20313A"/>
                <w:sz w:val="13"/>
              </w:rPr>
              <w:t>Mãng cầu, dừa, đu đủ, xoài in prosperity-themed assortments</w:t>
            </w:r>
          </w:p>
        </w:tc>
      </w:tr>
      <w:tr>
        <w:tc>
          <w:tcPr>
            <w:tcW w:type="dxa" w:w="1814"/>
            <w:vAlign w:val="top"/>
            <w:shd w:fill="F1F6F5"/>
          </w:tcPr>
          <w:p>
            <w:pPr>
              <w:spacing w:after="30" w:before="30" w:line="247" w:lineRule="auto"/>
            </w:pPr>
            <w:r>
              <w:rPr>
                <w:color w:val="20313A"/>
                <w:sz w:val="13"/>
              </w:rPr>
              <w:t>Tea / coffee</w:t>
            </w:r>
          </w:p>
        </w:tc>
        <w:tc>
          <w:tcPr>
            <w:tcW w:type="dxa" w:w="2580"/>
            <w:vAlign w:val="top"/>
            <w:shd w:fill="F1F6F5"/>
          </w:tcPr>
          <w:p>
            <w:pPr>
              <w:spacing w:after="30" w:before="30" w:line="247" w:lineRule="auto"/>
            </w:pPr>
            <w:r>
              <w:rPr>
                <w:color w:val="20313A"/>
                <w:sz w:val="13"/>
              </w:rPr>
              <w:t>Green tea and Thái Nguyên heritage</w:t>
            </w:r>
          </w:p>
        </w:tc>
        <w:tc>
          <w:tcPr>
            <w:tcW w:type="dxa" w:w="2580"/>
            <w:vAlign w:val="top"/>
            <w:shd w:fill="F1F6F5"/>
          </w:tcPr>
          <w:p>
            <w:pPr>
              <w:spacing w:after="30" w:before="30" w:line="247" w:lineRule="auto"/>
            </w:pPr>
            <w:r>
              <w:rPr>
                <w:color w:val="20313A"/>
                <w:sz w:val="13"/>
              </w:rPr>
              <w:t>Green tea and regional specialties</w:t>
            </w:r>
          </w:p>
        </w:tc>
        <w:tc>
          <w:tcPr>
            <w:tcW w:type="dxa" w:w="2665"/>
            <w:vAlign w:val="top"/>
            <w:shd w:fill="F1F6F5"/>
          </w:tcPr>
          <w:p>
            <w:pPr>
              <w:spacing w:after="30" w:before="30" w:line="247" w:lineRule="auto"/>
            </w:pPr>
            <w:r>
              <w:rPr>
                <w:color w:val="20313A"/>
                <w:sz w:val="13"/>
              </w:rPr>
              <w:t>Tea plus strong coffee/hospitality consumption</w:t>
            </w:r>
          </w:p>
        </w:tc>
      </w:tr>
      <w:tr>
        <w:tc>
          <w:tcPr>
            <w:tcW w:type="dxa" w:w="1814"/>
            <w:vAlign w:val="top"/>
          </w:tcPr>
          <w:p>
            <w:pPr>
              <w:spacing w:after="30" w:before="30" w:line="247" w:lineRule="auto"/>
            </w:pPr>
            <w:r>
              <w:rPr>
                <w:color w:val="20313A"/>
                <w:sz w:val="13"/>
              </w:rPr>
              <w:t>Packaged sweets</w:t>
            </w:r>
          </w:p>
        </w:tc>
        <w:tc>
          <w:tcPr>
            <w:tcW w:type="dxa" w:w="2580"/>
            <w:vAlign w:val="top"/>
          </w:tcPr>
          <w:p>
            <w:pPr>
              <w:spacing w:after="30" w:before="30" w:line="247" w:lineRule="auto"/>
            </w:pPr>
            <w:r>
              <w:rPr>
                <w:color w:val="20313A"/>
                <w:sz w:val="13"/>
              </w:rPr>
              <w:t>Kinh Đô, Bibica, Hữu Nghị, Hải Hà, Tràng An</w:t>
            </w:r>
          </w:p>
        </w:tc>
        <w:tc>
          <w:tcPr>
            <w:tcW w:type="dxa" w:w="2580"/>
            <w:vAlign w:val="top"/>
          </w:tcPr>
          <w:p>
            <w:pPr>
              <w:spacing w:after="30" w:before="30" w:line="247" w:lineRule="auto"/>
            </w:pPr>
            <w:r>
              <w:rPr>
                <w:color w:val="20313A"/>
                <w:sz w:val="13"/>
              </w:rPr>
              <w:t>National FMCG and local traditional producers</w:t>
            </w:r>
          </w:p>
        </w:tc>
        <w:tc>
          <w:tcPr>
            <w:tcW w:type="dxa" w:w="2665"/>
            <w:vAlign w:val="top"/>
          </w:tcPr>
          <w:p>
            <w:pPr>
              <w:spacing w:after="30" w:before="30" w:line="247" w:lineRule="auto"/>
            </w:pPr>
            <w:r>
              <w:rPr>
                <w:color w:val="20313A"/>
                <w:sz w:val="13"/>
              </w:rPr>
              <w:t>Orion, Kinh Đô, Bibica, Hữu Nghị, imports</w:t>
            </w:r>
          </w:p>
        </w:tc>
      </w:tr>
      <w:tr>
        <w:tc>
          <w:tcPr>
            <w:tcW w:type="dxa" w:w="1814"/>
            <w:vAlign w:val="top"/>
            <w:shd w:fill="F1F6F5"/>
          </w:tcPr>
          <w:p>
            <w:pPr>
              <w:spacing w:after="30" w:before="30" w:line="247" w:lineRule="auto"/>
            </w:pPr>
            <w:r>
              <w:rPr>
                <w:color w:val="20313A"/>
                <w:sz w:val="13"/>
              </w:rPr>
              <w:t>Mooncakes</w:t>
            </w:r>
          </w:p>
        </w:tc>
        <w:tc>
          <w:tcPr>
            <w:tcW w:type="dxa" w:w="2580"/>
            <w:vAlign w:val="top"/>
            <w:shd w:fill="F1F6F5"/>
          </w:tcPr>
          <w:p>
            <w:pPr>
              <w:spacing w:after="30" w:before="30" w:line="247" w:lineRule="auto"/>
            </w:pPr>
            <w:r>
              <w:rPr>
                <w:color w:val="20313A"/>
                <w:sz w:val="13"/>
              </w:rPr>
              <w:t>Kinh Đô, Hữu Nghị, Bibica, Bảo Phương</w:t>
            </w:r>
          </w:p>
        </w:tc>
        <w:tc>
          <w:tcPr>
            <w:tcW w:type="dxa" w:w="2580"/>
            <w:vAlign w:val="top"/>
            <w:shd w:fill="F1F6F5"/>
          </w:tcPr>
          <w:p>
            <w:pPr>
              <w:spacing w:after="30" w:before="30" w:line="247" w:lineRule="auto"/>
            </w:pPr>
            <w:r>
              <w:rPr>
                <w:color w:val="20313A"/>
                <w:sz w:val="13"/>
              </w:rPr>
              <w:t>National brands and regional bakers</w:t>
            </w:r>
          </w:p>
        </w:tc>
        <w:tc>
          <w:tcPr>
            <w:tcW w:type="dxa" w:w="2665"/>
            <w:vAlign w:val="top"/>
            <w:shd w:fill="F1F6F5"/>
          </w:tcPr>
          <w:p>
            <w:pPr>
              <w:spacing w:after="30" w:before="30" w:line="247" w:lineRule="auto"/>
            </w:pPr>
            <w:r>
              <w:rPr>
                <w:color w:val="20313A"/>
                <w:sz w:val="13"/>
              </w:rPr>
              <w:t>Kinh Đô, Givral, Brodard, Như Lan, Đồng Khánh, Đại Phát</w:t>
            </w:r>
          </w:p>
        </w:tc>
      </w:tr>
      <w:tr>
        <w:tc>
          <w:tcPr>
            <w:tcW w:type="dxa" w:w="1814"/>
            <w:vAlign w:val="top"/>
          </w:tcPr>
          <w:p>
            <w:pPr>
              <w:spacing w:after="30" w:before="30" w:line="247" w:lineRule="auto"/>
            </w:pPr>
            <w:r>
              <w:rPr>
                <w:color w:val="20313A"/>
                <w:sz w:val="13"/>
              </w:rPr>
              <w:t>Beer at family feasts</w:t>
            </w:r>
          </w:p>
        </w:tc>
        <w:tc>
          <w:tcPr>
            <w:tcW w:type="dxa" w:w="2580"/>
            <w:vAlign w:val="top"/>
          </w:tcPr>
          <w:p>
            <w:pPr>
              <w:spacing w:after="30" w:before="30" w:line="247" w:lineRule="auto"/>
            </w:pPr>
            <w:r>
              <w:rPr>
                <w:color w:val="20313A"/>
                <w:sz w:val="13"/>
              </w:rPr>
              <w:t>Hanoi Beer, Trúc Bạch, Tiger, Heineken</w:t>
            </w:r>
          </w:p>
        </w:tc>
        <w:tc>
          <w:tcPr>
            <w:tcW w:type="dxa" w:w="2580"/>
            <w:vAlign w:val="top"/>
          </w:tcPr>
          <w:p>
            <w:pPr>
              <w:spacing w:after="30" w:before="30" w:line="247" w:lineRule="auto"/>
            </w:pPr>
            <w:r>
              <w:rPr>
                <w:color w:val="20313A"/>
                <w:sz w:val="13"/>
              </w:rPr>
              <w:t>Huda, Larue, Bia Saigon</w:t>
            </w:r>
          </w:p>
        </w:tc>
        <w:tc>
          <w:tcPr>
            <w:tcW w:type="dxa" w:w="2665"/>
            <w:vAlign w:val="top"/>
          </w:tcPr>
          <w:p>
            <w:pPr>
              <w:spacing w:after="30" w:before="30" w:line="247" w:lineRule="auto"/>
            </w:pPr>
            <w:r>
              <w:rPr>
                <w:color w:val="20313A"/>
                <w:sz w:val="13"/>
              </w:rPr>
              <w:t>Bia Saigon, Tiger, 333, Heineken</w:t>
            </w:r>
          </w:p>
        </w:tc>
      </w:tr>
      <w:tr>
        <w:tc>
          <w:tcPr>
            <w:tcW w:type="dxa" w:w="1814"/>
            <w:vAlign w:val="top"/>
            <w:shd w:fill="F1F6F5"/>
          </w:tcPr>
          <w:p>
            <w:pPr>
              <w:spacing w:after="30" w:before="30" w:line="247" w:lineRule="auto"/>
            </w:pPr>
            <w:r>
              <w:rPr>
                <w:color w:val="20313A"/>
                <w:sz w:val="13"/>
              </w:rPr>
              <w:t>Retail ecosystem</w:t>
            </w:r>
          </w:p>
        </w:tc>
        <w:tc>
          <w:tcPr>
            <w:tcW w:type="dxa" w:w="2580"/>
            <w:vAlign w:val="top"/>
            <w:shd w:fill="F1F6F5"/>
          </w:tcPr>
          <w:p>
            <w:pPr>
              <w:spacing w:after="30" w:before="30" w:line="247" w:lineRule="auto"/>
            </w:pPr>
            <w:r>
              <w:rPr>
                <w:color w:val="20313A"/>
                <w:sz w:val="13"/>
              </w:rPr>
              <w:t>Traditional markets, specialist bakers, supermarkets</w:t>
            </w:r>
          </w:p>
        </w:tc>
        <w:tc>
          <w:tcPr>
            <w:tcW w:type="dxa" w:w="2580"/>
            <w:vAlign w:val="top"/>
            <w:shd w:fill="F1F6F5"/>
          </w:tcPr>
          <w:p>
            <w:pPr>
              <w:spacing w:after="30" w:before="30" w:line="247" w:lineRule="auto"/>
            </w:pPr>
            <w:r>
              <w:rPr>
                <w:color w:val="20313A"/>
                <w:sz w:val="13"/>
              </w:rPr>
              <w:t>Regional specialty sellers and food markets</w:t>
            </w:r>
          </w:p>
        </w:tc>
        <w:tc>
          <w:tcPr>
            <w:tcW w:type="dxa" w:w="2665"/>
            <w:vAlign w:val="top"/>
            <w:shd w:fill="F1F6F5"/>
          </w:tcPr>
          <w:p>
            <w:pPr>
              <w:spacing w:after="30" w:before="30" w:line="247" w:lineRule="auto"/>
            </w:pPr>
            <w:r>
              <w:rPr>
                <w:color w:val="20313A"/>
                <w:sz w:val="13"/>
              </w:rPr>
              <w:t>Traditional markets, supermarkets, ready-prepared trays</w:t>
            </w:r>
          </w:p>
        </w:tc>
      </w:tr>
    </w:tbl>
    <w:p>
      <w:pPr>
        <w:spacing w:after="0"/>
      </w:pPr>
    </w:p>
    <w:p>
      <w:pPr/>
      <w:r>
        <w:t>These are regional watchlists, not measured regional ritual-sales rankings. National brands have broad availability, while traditional bakery and fresh-prepared categories are structurally more localized. Local producers can be much more relevant than national leaders for specific dishes.</w:t>
      </w:r>
    </w:p>
    <w:p>
      <w:pPr>
        <w:pStyle w:val="Heading1"/>
      </w:pPr>
      <w:r>
        <w:t>7. Product role classification: avoid double counting</w:t>
      </w:r>
    </w:p>
    <w:tbl>
      <w:tblPr>
        <w:tblW w:type="auto" w:w="0"/>
        <w:jc w:val="center"/>
        <w:tblLayout w:type="fixed"/>
        <w:tblLook w:firstColumn="1" w:firstRow="1" w:lastColumn="0" w:lastRow="0" w:noHBand="0" w:noVBand="1" w:val="04A0"/>
      </w:tblPr>
      <w:tblGrid>
        <w:gridCol w:w="1701"/>
        <w:gridCol w:w="2608"/>
        <w:gridCol w:w="3175"/>
        <w:gridCol w:w="2154"/>
      </w:tblGrid>
      <w:tr>
        <w:trPr>
          <w:tblHeader w:val="true"/>
        </w:trPr>
        <w:tc>
          <w:tcPr>
            <w:tcW w:type="dxa" w:w="1701"/>
            <w:shd w:fill="153342"/>
            <w:vAlign w:val="center"/>
          </w:tcPr>
          <w:p>
            <w:pPr>
              <w:spacing w:after="40"/>
            </w:pPr>
            <w:r>
              <w:rPr>
                <w:b/>
                <w:color w:val="FFFFFF"/>
                <w:sz w:val="14"/>
              </w:rPr>
              <w:t>Product role</w:t>
            </w:r>
          </w:p>
        </w:tc>
        <w:tc>
          <w:tcPr>
            <w:tcW w:type="dxa" w:w="2608"/>
            <w:shd w:fill="153342"/>
            <w:vAlign w:val="center"/>
          </w:tcPr>
          <w:p>
            <w:pPr>
              <w:spacing w:after="40"/>
            </w:pPr>
            <w:r>
              <w:rPr>
                <w:b/>
                <w:color w:val="FFFFFF"/>
                <w:sz w:val="14"/>
              </w:rPr>
              <w:t>What is actually bought</w:t>
            </w:r>
          </w:p>
        </w:tc>
        <w:tc>
          <w:tcPr>
            <w:tcW w:type="dxa" w:w="3175"/>
            <w:shd w:fill="153342"/>
            <w:vAlign w:val="center"/>
          </w:tcPr>
          <w:p>
            <w:pPr>
              <w:spacing w:after="40"/>
            </w:pPr>
            <w:r>
              <w:rPr>
                <w:b/>
                <w:color w:val="FFFFFF"/>
                <w:sz w:val="14"/>
              </w:rPr>
              <w:t>Example categories / brands</w:t>
            </w:r>
          </w:p>
        </w:tc>
        <w:tc>
          <w:tcPr>
            <w:tcW w:type="dxa" w:w="2154"/>
            <w:shd w:fill="153342"/>
            <w:vAlign w:val="center"/>
          </w:tcPr>
          <w:p>
            <w:pPr>
              <w:spacing w:after="40"/>
            </w:pPr>
            <w:r>
              <w:rPr>
                <w:b/>
                <w:color w:val="FFFFFF"/>
                <w:sz w:val="14"/>
              </w:rPr>
              <w:t>Caution</w:t>
            </w:r>
          </w:p>
        </w:tc>
      </w:tr>
      <w:tr>
        <w:tc>
          <w:tcPr>
            <w:tcW w:type="dxa" w:w="1701"/>
            <w:vAlign w:val="top"/>
            <w:shd w:fill="F1F6F5"/>
          </w:tcPr>
          <w:p>
            <w:pPr>
              <w:spacing w:after="30" w:before="30" w:line="247" w:lineRule="auto"/>
            </w:pPr>
            <w:r>
              <w:rPr>
                <w:color w:val="20313A"/>
                <w:sz w:val="14"/>
              </w:rPr>
              <w:t>Direct offering display</w:t>
            </w:r>
          </w:p>
        </w:tc>
        <w:tc>
          <w:tcPr>
            <w:tcW w:type="dxa" w:w="2608"/>
            <w:vAlign w:val="top"/>
            <w:shd w:fill="F1F6F5"/>
          </w:tcPr>
          <w:p>
            <w:pPr>
              <w:spacing w:after="30" w:before="30" w:line="247" w:lineRule="auto"/>
            </w:pPr>
            <w:r>
              <w:rPr>
                <w:color w:val="20313A"/>
                <w:sz w:val="14"/>
              </w:rPr>
              <w:t>Something placed on altar or ceremonial table</w:t>
            </w:r>
          </w:p>
        </w:tc>
        <w:tc>
          <w:tcPr>
            <w:tcW w:type="dxa" w:w="3175"/>
            <w:vAlign w:val="top"/>
            <w:shd w:fill="F1F6F5"/>
          </w:tcPr>
          <w:p>
            <w:pPr>
              <w:spacing w:after="30" w:before="30" w:line="247" w:lineRule="auto"/>
            </w:pPr>
            <w:r>
              <w:rPr>
                <w:color w:val="20313A"/>
                <w:sz w:val="14"/>
              </w:rPr>
              <w:t>Fruit; water; tea; some Coca-Cola and Orion packs</w:t>
            </w:r>
          </w:p>
        </w:tc>
        <w:tc>
          <w:tcPr>
            <w:tcW w:type="dxa" w:w="2154"/>
            <w:vAlign w:val="top"/>
            <w:shd w:fill="F1F6F5"/>
          </w:tcPr>
          <w:p>
            <w:pPr>
              <w:spacing w:after="30" w:before="30" w:line="247" w:lineRule="auto"/>
            </w:pPr>
            <w:r>
              <w:rPr>
                <w:color w:val="20313A"/>
                <w:sz w:val="14"/>
              </w:rPr>
              <w:t>Observed in some homes does not mean a universal rule</w:t>
            </w:r>
          </w:p>
        </w:tc>
      </w:tr>
      <w:tr>
        <w:tc>
          <w:tcPr>
            <w:tcW w:type="dxa" w:w="1701"/>
            <w:vAlign w:val="top"/>
          </w:tcPr>
          <w:p>
            <w:pPr>
              <w:spacing w:after="30" w:before="30" w:line="247" w:lineRule="auto"/>
            </w:pPr>
            <w:r>
              <w:rPr>
                <w:color w:val="20313A"/>
                <w:sz w:val="14"/>
              </w:rPr>
              <w:t>Ceremonial meal preparation</w:t>
            </w:r>
          </w:p>
        </w:tc>
        <w:tc>
          <w:tcPr>
            <w:tcW w:type="dxa" w:w="2608"/>
            <w:vAlign w:val="top"/>
          </w:tcPr>
          <w:p>
            <w:pPr>
              <w:spacing w:after="30" w:before="30" w:line="247" w:lineRule="auto"/>
            </w:pPr>
            <w:r>
              <w:rPr>
                <w:color w:val="20313A"/>
                <w:sz w:val="14"/>
              </w:rPr>
              <w:t>Ingredients/processed foods prepared and offered</w:t>
            </w:r>
          </w:p>
        </w:tc>
        <w:tc>
          <w:tcPr>
            <w:tcW w:type="dxa" w:w="3175"/>
            <w:vAlign w:val="top"/>
          </w:tcPr>
          <w:p>
            <w:pPr>
              <w:spacing w:after="30" w:before="30" w:line="247" w:lineRule="auto"/>
            </w:pPr>
            <w:r>
              <w:rPr>
                <w:color w:val="20313A"/>
                <w:sz w:val="14"/>
              </w:rPr>
              <w:t>Vissan; Cầu Tre; CHIN-SU; Nam Ngư; cooking oil</w:t>
            </w:r>
          </w:p>
        </w:tc>
        <w:tc>
          <w:tcPr>
            <w:tcW w:type="dxa" w:w="2154"/>
            <w:vAlign w:val="top"/>
          </w:tcPr>
          <w:p>
            <w:pPr>
              <w:spacing w:after="30" w:before="30" w:line="247" w:lineRule="auto"/>
            </w:pPr>
            <w:r>
              <w:rPr>
                <w:color w:val="20313A"/>
                <w:sz w:val="14"/>
              </w:rPr>
              <w:t>Ingredients themselves are often not displayed</w:t>
            </w:r>
          </w:p>
        </w:tc>
      </w:tr>
      <w:tr>
        <w:tc>
          <w:tcPr>
            <w:tcW w:type="dxa" w:w="1701"/>
            <w:vAlign w:val="top"/>
            <w:shd w:fill="F1F6F5"/>
          </w:tcPr>
          <w:p>
            <w:pPr>
              <w:spacing w:after="30" w:before="30" w:line="247" w:lineRule="auto"/>
            </w:pPr>
            <w:r>
              <w:rPr>
                <w:color w:val="20313A"/>
                <w:sz w:val="14"/>
              </w:rPr>
              <w:t>Post-ceremony hosting</w:t>
            </w:r>
          </w:p>
        </w:tc>
        <w:tc>
          <w:tcPr>
            <w:tcW w:type="dxa" w:w="2608"/>
            <w:vAlign w:val="top"/>
            <w:shd w:fill="F1F6F5"/>
          </w:tcPr>
          <w:p>
            <w:pPr>
              <w:spacing w:after="30" w:before="30" w:line="247" w:lineRule="auto"/>
            </w:pPr>
            <w:r>
              <w:rPr>
                <w:color w:val="20313A"/>
                <w:sz w:val="14"/>
              </w:rPr>
              <w:t>Consumed after ritual by household and guests</w:t>
            </w:r>
          </w:p>
        </w:tc>
        <w:tc>
          <w:tcPr>
            <w:tcW w:type="dxa" w:w="3175"/>
            <w:vAlign w:val="top"/>
            <w:shd w:fill="F1F6F5"/>
          </w:tcPr>
          <w:p>
            <w:pPr>
              <w:spacing w:after="30" w:before="30" w:line="247" w:lineRule="auto"/>
            </w:pPr>
            <w:r>
              <w:rPr>
                <w:color w:val="20313A"/>
                <w:sz w:val="14"/>
              </w:rPr>
              <w:t>Soft drinks; beer; cakes; full meals</w:t>
            </w:r>
          </w:p>
        </w:tc>
        <w:tc>
          <w:tcPr>
            <w:tcW w:type="dxa" w:w="2154"/>
            <w:vAlign w:val="top"/>
            <w:shd w:fill="F1F6F5"/>
          </w:tcPr>
          <w:p>
            <w:pPr>
              <w:spacing w:after="30" w:before="30" w:line="247" w:lineRule="auto"/>
            </w:pPr>
            <w:r>
              <w:rPr>
                <w:color w:val="20313A"/>
                <w:sz w:val="14"/>
              </w:rPr>
              <w:t>Do not count all hosting as direct offerings</w:t>
            </w:r>
          </w:p>
        </w:tc>
      </w:tr>
      <w:tr>
        <w:tc>
          <w:tcPr>
            <w:tcW w:type="dxa" w:w="1701"/>
            <w:vAlign w:val="top"/>
          </w:tcPr>
          <w:p>
            <w:pPr>
              <w:spacing w:after="30" w:before="30" w:line="247" w:lineRule="auto"/>
            </w:pPr>
            <w:r>
              <w:rPr>
                <w:color w:val="20313A"/>
                <w:sz w:val="14"/>
              </w:rPr>
              <w:t>Occasion-season gifting</w:t>
            </w:r>
          </w:p>
        </w:tc>
        <w:tc>
          <w:tcPr>
            <w:tcW w:type="dxa" w:w="2608"/>
            <w:vAlign w:val="top"/>
          </w:tcPr>
          <w:p>
            <w:pPr>
              <w:spacing w:after="30" w:before="30" w:line="247" w:lineRule="auto"/>
            </w:pPr>
            <w:r>
              <w:rPr>
                <w:color w:val="20313A"/>
                <w:sz w:val="14"/>
              </w:rPr>
              <w:t>Purchased for gifting to family/business contacts</w:t>
            </w:r>
          </w:p>
        </w:tc>
        <w:tc>
          <w:tcPr>
            <w:tcW w:type="dxa" w:w="3175"/>
            <w:vAlign w:val="top"/>
          </w:tcPr>
          <w:p>
            <w:pPr>
              <w:spacing w:after="30" w:before="30" w:line="247" w:lineRule="auto"/>
            </w:pPr>
            <w:r>
              <w:rPr>
                <w:color w:val="20313A"/>
                <w:sz w:val="14"/>
              </w:rPr>
              <w:t>Mooncakes; premium tea; nuts; boxed confectionery</w:t>
            </w:r>
          </w:p>
        </w:tc>
        <w:tc>
          <w:tcPr>
            <w:tcW w:type="dxa" w:w="2154"/>
            <w:vAlign w:val="top"/>
          </w:tcPr>
          <w:p>
            <w:pPr>
              <w:spacing w:after="30" w:before="30" w:line="247" w:lineRule="auto"/>
            </w:pPr>
            <w:r>
              <w:rPr>
                <w:color w:val="20313A"/>
                <w:sz w:val="14"/>
              </w:rPr>
              <w:t>Not necessarily intended for an altar</w:t>
            </w:r>
          </w:p>
        </w:tc>
      </w:tr>
    </w:tbl>
    <w:p>
      <w:pPr>
        <w:spacing w:after="0"/>
      </w:pPr>
    </w:p>
    <w:p>
      <w:pPr/>
      <w:r>
        <w:t>A single SKU can participate in multiple roles; for instance, canned beverages could appear on an ancestral altar and later be offered to guests. A single annual occasion may therefore produce overlapping but analytically distinct sales drivers.</w:t>
      </w:r>
    </w:p>
    <w:p>
      <w:pPr>
        <w:pStyle w:val="Heading1"/>
      </w:pPr>
      <w:r>
        <w:t>8. Manufacturer and portfolio mapping</w:t>
      </w:r>
    </w:p>
    <w:tbl>
      <w:tblPr>
        <w:tblW w:type="auto" w:w="0"/>
        <w:jc w:val="center"/>
        <w:tblLayout w:type="fixed"/>
        <w:tblLook w:firstColumn="1" w:firstRow="1" w:lastColumn="0" w:lastRow="0" w:noHBand="0" w:noVBand="1" w:val="04A0"/>
      </w:tblPr>
      <w:tblGrid>
        <w:gridCol w:w="2268"/>
        <w:gridCol w:w="3402"/>
        <w:gridCol w:w="3969"/>
      </w:tblGrid>
      <w:tr>
        <w:trPr>
          <w:tblHeader w:val="true"/>
        </w:trPr>
        <w:tc>
          <w:tcPr>
            <w:tcW w:type="dxa" w:w="2268"/>
            <w:shd w:fill="153342"/>
            <w:vAlign w:val="center"/>
          </w:tcPr>
          <w:p>
            <w:pPr>
              <w:spacing w:after="40"/>
            </w:pPr>
            <w:r>
              <w:rPr>
                <w:b/>
                <w:color w:val="FFFFFF"/>
                <w:sz w:val="14"/>
              </w:rPr>
              <w:t>Company / brand owner</w:t>
            </w:r>
          </w:p>
        </w:tc>
        <w:tc>
          <w:tcPr>
            <w:tcW w:type="dxa" w:w="3402"/>
            <w:shd w:fill="153342"/>
            <w:vAlign w:val="center"/>
          </w:tcPr>
          <w:p>
            <w:pPr>
              <w:spacing w:after="40"/>
            </w:pPr>
            <w:r>
              <w:rPr>
                <w:b/>
                <w:color w:val="FFFFFF"/>
                <w:sz w:val="14"/>
              </w:rPr>
              <w:t>Brands / ranges</w:t>
            </w:r>
          </w:p>
        </w:tc>
        <w:tc>
          <w:tcPr>
            <w:tcW w:type="dxa" w:w="3969"/>
            <w:shd w:fill="153342"/>
            <w:vAlign w:val="center"/>
          </w:tcPr>
          <w:p>
            <w:pPr>
              <w:spacing w:after="40"/>
            </w:pPr>
            <w:r>
              <w:rPr>
                <w:b/>
                <w:color w:val="FFFFFF"/>
                <w:sz w:val="14"/>
              </w:rPr>
              <w:t>Competitive connection</w:t>
            </w:r>
          </w:p>
        </w:tc>
      </w:tr>
      <w:tr>
        <w:tc>
          <w:tcPr>
            <w:tcW w:type="dxa" w:w="2268"/>
            <w:vAlign w:val="top"/>
            <w:shd w:fill="F1F6F5"/>
          </w:tcPr>
          <w:p>
            <w:pPr>
              <w:spacing w:after="30" w:before="30" w:line="247" w:lineRule="auto"/>
            </w:pPr>
            <w:r>
              <w:rPr>
                <w:color w:val="20313A"/>
                <w:sz w:val="14"/>
              </w:rPr>
              <w:t>Coca-Cola Vietnam</w:t>
            </w:r>
          </w:p>
        </w:tc>
        <w:tc>
          <w:tcPr>
            <w:tcW w:type="dxa" w:w="3402"/>
            <w:vAlign w:val="top"/>
            <w:shd w:fill="F1F6F5"/>
          </w:tcPr>
          <w:p>
            <w:pPr>
              <w:spacing w:after="30" w:before="30" w:line="247" w:lineRule="auto"/>
            </w:pPr>
            <w:r>
              <w:rPr>
                <w:color w:val="20313A"/>
                <w:sz w:val="14"/>
              </w:rPr>
              <w:t>Coca-Cola, Fanta, Sprite, Dasani</w:t>
            </w:r>
          </w:p>
        </w:tc>
        <w:tc>
          <w:tcPr>
            <w:tcW w:type="dxa" w:w="3969"/>
            <w:vAlign w:val="top"/>
            <w:shd w:fill="F1F6F5"/>
          </w:tcPr>
          <w:p>
            <w:pPr>
              <w:spacing w:after="30" w:before="30" w:line="247" w:lineRule="auto"/>
            </w:pPr>
            <w:r>
              <w:rPr>
                <w:color w:val="20313A"/>
                <w:sz w:val="14"/>
              </w:rPr>
              <w:t>Branded drinks; occasional altar displays; hospitality</w:t>
            </w:r>
          </w:p>
        </w:tc>
      </w:tr>
      <w:tr>
        <w:tc>
          <w:tcPr>
            <w:tcW w:type="dxa" w:w="2268"/>
            <w:vAlign w:val="top"/>
          </w:tcPr>
          <w:p>
            <w:pPr>
              <w:spacing w:after="30" w:before="30" w:line="247" w:lineRule="auto"/>
            </w:pPr>
            <w:r>
              <w:rPr>
                <w:color w:val="20313A"/>
                <w:sz w:val="14"/>
              </w:rPr>
              <w:t>Suntory PepsiCo Vietnam</w:t>
            </w:r>
          </w:p>
        </w:tc>
        <w:tc>
          <w:tcPr>
            <w:tcW w:type="dxa" w:w="3402"/>
            <w:vAlign w:val="top"/>
          </w:tcPr>
          <w:p>
            <w:pPr>
              <w:spacing w:after="30" w:before="30" w:line="247" w:lineRule="auto"/>
            </w:pPr>
            <w:r>
              <w:rPr>
                <w:color w:val="20313A"/>
                <w:sz w:val="14"/>
              </w:rPr>
              <w:t>Pepsi, 7UP, Mirinda, Aquafina, Sting</w:t>
            </w:r>
          </w:p>
        </w:tc>
        <w:tc>
          <w:tcPr>
            <w:tcW w:type="dxa" w:w="3969"/>
            <w:vAlign w:val="top"/>
          </w:tcPr>
          <w:p>
            <w:pPr>
              <w:spacing w:after="30" w:before="30" w:line="247" w:lineRule="auto"/>
            </w:pPr>
            <w:r>
              <w:rPr>
                <w:color w:val="20313A"/>
                <w:sz w:val="14"/>
              </w:rPr>
              <w:t>Soft drinks and water; Tết/household consumption</w:t>
            </w:r>
          </w:p>
        </w:tc>
      </w:tr>
      <w:tr>
        <w:tc>
          <w:tcPr>
            <w:tcW w:type="dxa" w:w="2268"/>
            <w:vAlign w:val="top"/>
            <w:shd w:fill="F1F6F5"/>
          </w:tcPr>
          <w:p>
            <w:pPr>
              <w:spacing w:after="30" w:before="30" w:line="247" w:lineRule="auto"/>
            </w:pPr>
            <w:r>
              <w:rPr>
                <w:color w:val="20313A"/>
                <w:sz w:val="14"/>
              </w:rPr>
              <w:t>Mondelez Kinh Do</w:t>
            </w:r>
          </w:p>
        </w:tc>
        <w:tc>
          <w:tcPr>
            <w:tcW w:type="dxa" w:w="3402"/>
            <w:vAlign w:val="top"/>
            <w:shd w:fill="F1F6F5"/>
          </w:tcPr>
          <w:p>
            <w:pPr>
              <w:spacing w:after="30" w:before="30" w:line="247" w:lineRule="auto"/>
            </w:pPr>
            <w:r>
              <w:rPr>
                <w:color w:val="20313A"/>
                <w:sz w:val="14"/>
              </w:rPr>
              <w:t>Kinh Đô, Cosy, Solite, AFC, Oreo</w:t>
            </w:r>
          </w:p>
        </w:tc>
        <w:tc>
          <w:tcPr>
            <w:tcW w:type="dxa" w:w="3969"/>
            <w:vAlign w:val="top"/>
            <w:shd w:fill="F1F6F5"/>
          </w:tcPr>
          <w:p>
            <w:pPr>
              <w:spacing w:after="30" w:before="30" w:line="247" w:lineRule="auto"/>
            </w:pPr>
            <w:r>
              <w:rPr>
                <w:color w:val="20313A"/>
                <w:sz w:val="14"/>
              </w:rPr>
              <w:t>Biscuits, cakes and mooncakes</w:t>
            </w:r>
          </w:p>
        </w:tc>
      </w:tr>
      <w:tr>
        <w:tc>
          <w:tcPr>
            <w:tcW w:type="dxa" w:w="2268"/>
            <w:vAlign w:val="top"/>
          </w:tcPr>
          <w:p>
            <w:pPr>
              <w:spacing w:after="30" w:before="30" w:line="247" w:lineRule="auto"/>
            </w:pPr>
            <w:r>
              <w:rPr>
                <w:color w:val="20313A"/>
                <w:sz w:val="14"/>
              </w:rPr>
              <w:t>Orion Vina</w:t>
            </w:r>
          </w:p>
        </w:tc>
        <w:tc>
          <w:tcPr>
            <w:tcW w:type="dxa" w:w="3402"/>
            <w:vAlign w:val="top"/>
          </w:tcPr>
          <w:p>
            <w:pPr>
              <w:spacing w:after="30" w:before="30" w:line="247" w:lineRule="auto"/>
            </w:pPr>
            <w:r>
              <w:rPr>
                <w:color w:val="20313A"/>
                <w:sz w:val="14"/>
              </w:rPr>
              <w:t>ChocoPie, Gouté, Custas, C’est Bon</w:t>
            </w:r>
          </w:p>
        </w:tc>
        <w:tc>
          <w:tcPr>
            <w:tcW w:type="dxa" w:w="3969"/>
            <w:vAlign w:val="top"/>
          </w:tcPr>
          <w:p>
            <w:pPr>
              <w:spacing w:after="30" w:before="30" w:line="247" w:lineRule="auto"/>
            </w:pPr>
            <w:r>
              <w:rPr>
                <w:color w:val="20313A"/>
                <w:sz w:val="14"/>
              </w:rPr>
              <w:t>Packaged cakes, biscuits, gift boxes</w:t>
            </w:r>
          </w:p>
        </w:tc>
      </w:tr>
      <w:tr>
        <w:tc>
          <w:tcPr>
            <w:tcW w:type="dxa" w:w="2268"/>
            <w:vAlign w:val="top"/>
            <w:shd w:fill="F1F6F5"/>
          </w:tcPr>
          <w:p>
            <w:pPr>
              <w:spacing w:after="30" w:before="30" w:line="247" w:lineRule="auto"/>
            </w:pPr>
            <w:r>
              <w:rPr>
                <w:color w:val="20313A"/>
                <w:sz w:val="14"/>
              </w:rPr>
              <w:t>Bibica</w:t>
            </w:r>
          </w:p>
        </w:tc>
        <w:tc>
          <w:tcPr>
            <w:tcW w:type="dxa" w:w="3402"/>
            <w:vAlign w:val="top"/>
            <w:shd w:fill="F1F6F5"/>
          </w:tcPr>
          <w:p>
            <w:pPr>
              <w:spacing w:after="30" w:before="30" w:line="247" w:lineRule="auto"/>
            </w:pPr>
            <w:r>
              <w:rPr>
                <w:color w:val="20313A"/>
                <w:sz w:val="14"/>
              </w:rPr>
              <w:t>Goody, Hura, Cheery, Phát Tài, mooncakes</w:t>
            </w:r>
          </w:p>
        </w:tc>
        <w:tc>
          <w:tcPr>
            <w:tcW w:type="dxa" w:w="3969"/>
            <w:vAlign w:val="top"/>
            <w:shd w:fill="F1F6F5"/>
          </w:tcPr>
          <w:p>
            <w:pPr>
              <w:spacing w:after="30" w:before="30" w:line="247" w:lineRule="auto"/>
            </w:pPr>
            <w:r>
              <w:rPr>
                <w:color w:val="20313A"/>
                <w:sz w:val="14"/>
              </w:rPr>
              <w:t>Confectionery, cookies, festival season products</w:t>
            </w:r>
          </w:p>
        </w:tc>
      </w:tr>
      <w:tr>
        <w:tc>
          <w:tcPr>
            <w:tcW w:type="dxa" w:w="2268"/>
            <w:vAlign w:val="top"/>
          </w:tcPr>
          <w:p>
            <w:pPr>
              <w:spacing w:after="30" w:before="30" w:line="247" w:lineRule="auto"/>
            </w:pPr>
            <w:r>
              <w:rPr>
                <w:color w:val="20313A"/>
                <w:sz w:val="14"/>
              </w:rPr>
              <w:t>Hữu Nghị Food</w:t>
            </w:r>
          </w:p>
        </w:tc>
        <w:tc>
          <w:tcPr>
            <w:tcW w:type="dxa" w:w="3402"/>
            <w:vAlign w:val="top"/>
          </w:tcPr>
          <w:p>
            <w:pPr>
              <w:spacing w:after="30" w:before="30" w:line="247" w:lineRule="auto"/>
            </w:pPr>
            <w:r>
              <w:rPr>
                <w:color w:val="20313A"/>
                <w:sz w:val="14"/>
              </w:rPr>
              <w:t>Hữu Nghị, Tipo, mooncakes</w:t>
            </w:r>
          </w:p>
        </w:tc>
        <w:tc>
          <w:tcPr>
            <w:tcW w:type="dxa" w:w="3969"/>
            <w:vAlign w:val="top"/>
          </w:tcPr>
          <w:p>
            <w:pPr>
              <w:spacing w:after="30" w:before="30" w:line="247" w:lineRule="auto"/>
            </w:pPr>
            <w:r>
              <w:rPr>
                <w:color w:val="20313A"/>
                <w:sz w:val="14"/>
              </w:rPr>
              <w:t>Biscuits, bakery snacks, mooncakes</w:t>
            </w:r>
          </w:p>
        </w:tc>
      </w:tr>
      <w:tr>
        <w:tc>
          <w:tcPr>
            <w:tcW w:type="dxa" w:w="2268"/>
            <w:vAlign w:val="top"/>
            <w:shd w:fill="F1F6F5"/>
          </w:tcPr>
          <w:p>
            <w:pPr>
              <w:spacing w:after="30" w:before="30" w:line="247" w:lineRule="auto"/>
            </w:pPr>
            <w:r>
              <w:rPr>
                <w:color w:val="20313A"/>
                <w:sz w:val="14"/>
              </w:rPr>
              <w:t>Trung Nguyên Legend</w:t>
            </w:r>
          </w:p>
        </w:tc>
        <w:tc>
          <w:tcPr>
            <w:tcW w:type="dxa" w:w="3402"/>
            <w:vAlign w:val="top"/>
            <w:shd w:fill="F1F6F5"/>
          </w:tcPr>
          <w:p>
            <w:pPr>
              <w:spacing w:after="30" w:before="30" w:line="247" w:lineRule="auto"/>
            </w:pPr>
            <w:r>
              <w:rPr>
                <w:color w:val="20313A"/>
                <w:sz w:val="14"/>
              </w:rPr>
              <w:t>G7, Trung Nguyên Legend</w:t>
            </w:r>
          </w:p>
        </w:tc>
        <w:tc>
          <w:tcPr>
            <w:tcW w:type="dxa" w:w="3969"/>
            <w:vAlign w:val="top"/>
            <w:shd w:fill="F1F6F5"/>
          </w:tcPr>
          <w:p>
            <w:pPr>
              <w:spacing w:after="30" w:before="30" w:line="247" w:lineRule="auto"/>
            </w:pPr>
            <w:r>
              <w:rPr>
                <w:color w:val="20313A"/>
                <w:sz w:val="14"/>
              </w:rPr>
              <w:t>Instant coffee, gifts, guests</w:t>
            </w:r>
          </w:p>
        </w:tc>
      </w:tr>
      <w:tr>
        <w:tc>
          <w:tcPr>
            <w:tcW w:type="dxa" w:w="2268"/>
            <w:vAlign w:val="top"/>
          </w:tcPr>
          <w:p>
            <w:pPr>
              <w:spacing w:after="30" w:before="30" w:line="247" w:lineRule="auto"/>
            </w:pPr>
            <w:r>
              <w:rPr>
                <w:color w:val="20313A"/>
                <w:sz w:val="14"/>
              </w:rPr>
              <w:t>Nestlé Vietnam</w:t>
            </w:r>
          </w:p>
        </w:tc>
        <w:tc>
          <w:tcPr>
            <w:tcW w:type="dxa" w:w="3402"/>
            <w:vAlign w:val="top"/>
          </w:tcPr>
          <w:p>
            <w:pPr>
              <w:spacing w:after="30" w:before="30" w:line="247" w:lineRule="auto"/>
            </w:pPr>
            <w:r>
              <w:rPr>
                <w:color w:val="20313A"/>
                <w:sz w:val="14"/>
              </w:rPr>
              <w:t>Nescafé, Milo, MAGGI</w:t>
            </w:r>
          </w:p>
        </w:tc>
        <w:tc>
          <w:tcPr>
            <w:tcW w:type="dxa" w:w="3969"/>
            <w:vAlign w:val="top"/>
          </w:tcPr>
          <w:p>
            <w:pPr>
              <w:spacing w:after="30" w:before="30" w:line="247" w:lineRule="auto"/>
            </w:pPr>
            <w:r>
              <w:rPr>
                <w:color w:val="20313A"/>
                <w:sz w:val="14"/>
              </w:rPr>
              <w:t>Coffee, family consumption, cooking ingredients</w:t>
            </w:r>
          </w:p>
        </w:tc>
      </w:tr>
      <w:tr>
        <w:tc>
          <w:tcPr>
            <w:tcW w:type="dxa" w:w="2268"/>
            <w:vAlign w:val="top"/>
            <w:shd w:fill="F1F6F5"/>
          </w:tcPr>
          <w:p>
            <w:pPr>
              <w:spacing w:after="30" w:before="30" w:line="247" w:lineRule="auto"/>
            </w:pPr>
            <w:r>
              <w:rPr>
                <w:color w:val="20313A"/>
                <w:sz w:val="14"/>
              </w:rPr>
              <w:t>Vinamilk</w:t>
            </w:r>
          </w:p>
        </w:tc>
        <w:tc>
          <w:tcPr>
            <w:tcW w:type="dxa" w:w="3402"/>
            <w:vAlign w:val="top"/>
            <w:shd w:fill="F1F6F5"/>
          </w:tcPr>
          <w:p>
            <w:pPr>
              <w:spacing w:after="30" w:before="30" w:line="247" w:lineRule="auto"/>
            </w:pPr>
            <w:r>
              <w:rPr>
                <w:color w:val="20313A"/>
                <w:sz w:val="14"/>
              </w:rPr>
              <w:t>Vinamilk, Ông Thọ, Ngôi Sao Phương Nam</w:t>
            </w:r>
          </w:p>
        </w:tc>
        <w:tc>
          <w:tcPr>
            <w:tcW w:type="dxa" w:w="3969"/>
            <w:vAlign w:val="top"/>
            <w:shd w:fill="F1F6F5"/>
          </w:tcPr>
          <w:p>
            <w:pPr>
              <w:spacing w:after="30" w:before="30" w:line="247" w:lineRule="auto"/>
            </w:pPr>
            <w:r>
              <w:rPr>
                <w:color w:val="20313A"/>
                <w:sz w:val="14"/>
              </w:rPr>
              <w:t>Dairy and prepared-dessert ingredients</w:t>
            </w:r>
          </w:p>
        </w:tc>
      </w:tr>
      <w:tr>
        <w:tc>
          <w:tcPr>
            <w:tcW w:type="dxa" w:w="2268"/>
            <w:vAlign w:val="top"/>
          </w:tcPr>
          <w:p>
            <w:pPr>
              <w:spacing w:after="30" w:before="30" w:line="247" w:lineRule="auto"/>
            </w:pPr>
            <w:r>
              <w:rPr>
                <w:color w:val="20313A"/>
                <w:sz w:val="14"/>
              </w:rPr>
              <w:t>Vissan</w:t>
            </w:r>
          </w:p>
        </w:tc>
        <w:tc>
          <w:tcPr>
            <w:tcW w:type="dxa" w:w="3402"/>
            <w:vAlign w:val="top"/>
          </w:tcPr>
          <w:p>
            <w:pPr>
              <w:spacing w:after="30" w:before="30" w:line="247" w:lineRule="auto"/>
            </w:pPr>
            <w:r>
              <w:rPr>
                <w:color w:val="20313A"/>
                <w:sz w:val="14"/>
              </w:rPr>
              <w:t>Fresh and processed meat products</w:t>
            </w:r>
          </w:p>
        </w:tc>
        <w:tc>
          <w:tcPr>
            <w:tcW w:type="dxa" w:w="3969"/>
            <w:vAlign w:val="top"/>
          </w:tcPr>
          <w:p>
            <w:pPr>
              <w:spacing w:after="30" w:before="30" w:line="247" w:lineRule="auto"/>
            </w:pPr>
            <w:r>
              <w:rPr>
                <w:color w:val="20313A"/>
                <w:sz w:val="14"/>
              </w:rPr>
              <w:t>Traditional ceremonial meal input</w:t>
            </w:r>
          </w:p>
        </w:tc>
      </w:tr>
      <w:tr>
        <w:tc>
          <w:tcPr>
            <w:tcW w:type="dxa" w:w="2268"/>
            <w:vAlign w:val="top"/>
            <w:shd w:fill="F1F6F5"/>
          </w:tcPr>
          <w:p>
            <w:pPr>
              <w:spacing w:after="30" w:before="30" w:line="247" w:lineRule="auto"/>
            </w:pPr>
            <w:r>
              <w:rPr>
                <w:color w:val="20313A"/>
                <w:sz w:val="14"/>
              </w:rPr>
              <w:t>Masan Consumer</w:t>
            </w:r>
          </w:p>
        </w:tc>
        <w:tc>
          <w:tcPr>
            <w:tcW w:type="dxa" w:w="3402"/>
            <w:vAlign w:val="top"/>
            <w:shd w:fill="F1F6F5"/>
          </w:tcPr>
          <w:p>
            <w:pPr>
              <w:spacing w:after="30" w:before="30" w:line="247" w:lineRule="auto"/>
            </w:pPr>
            <w:r>
              <w:rPr>
                <w:color w:val="20313A"/>
                <w:sz w:val="14"/>
              </w:rPr>
              <w:t>CHIN-SU, Nam Ngư, Omachi</w:t>
            </w:r>
          </w:p>
        </w:tc>
        <w:tc>
          <w:tcPr>
            <w:tcW w:type="dxa" w:w="3969"/>
            <w:vAlign w:val="top"/>
            <w:shd w:fill="F1F6F5"/>
          </w:tcPr>
          <w:p>
            <w:pPr>
              <w:spacing w:after="30" w:before="30" w:line="247" w:lineRule="auto"/>
            </w:pPr>
            <w:r>
              <w:rPr>
                <w:color w:val="20313A"/>
                <w:sz w:val="14"/>
              </w:rPr>
              <w:t>Sauces, meal ingredients, noodles</w:t>
            </w:r>
          </w:p>
        </w:tc>
      </w:tr>
      <w:tr>
        <w:tc>
          <w:tcPr>
            <w:tcW w:type="dxa" w:w="2268"/>
            <w:vAlign w:val="top"/>
          </w:tcPr>
          <w:p>
            <w:pPr>
              <w:spacing w:after="30" w:before="30" w:line="247" w:lineRule="auto"/>
            </w:pPr>
            <w:r>
              <w:rPr>
                <w:color w:val="20313A"/>
                <w:sz w:val="14"/>
              </w:rPr>
              <w:t>Acecook Vietnam</w:t>
            </w:r>
          </w:p>
        </w:tc>
        <w:tc>
          <w:tcPr>
            <w:tcW w:type="dxa" w:w="3402"/>
            <w:vAlign w:val="top"/>
          </w:tcPr>
          <w:p>
            <w:pPr>
              <w:spacing w:after="30" w:before="30" w:line="247" w:lineRule="auto"/>
            </w:pPr>
            <w:r>
              <w:rPr>
                <w:color w:val="20313A"/>
                <w:sz w:val="14"/>
              </w:rPr>
              <w:t>Hảo Hảo (including vegetarian variants)</w:t>
            </w:r>
          </w:p>
        </w:tc>
        <w:tc>
          <w:tcPr>
            <w:tcW w:type="dxa" w:w="3969"/>
            <w:vAlign w:val="top"/>
          </w:tcPr>
          <w:p>
            <w:pPr>
              <w:spacing w:after="30" w:before="30" w:line="247" w:lineRule="auto"/>
            </w:pPr>
            <w:r>
              <w:rPr>
                <w:color w:val="20313A"/>
                <w:sz w:val="14"/>
              </w:rPr>
              <w:t>Convenience vegetarian eating</w:t>
            </w:r>
          </w:p>
        </w:tc>
      </w:tr>
      <w:tr>
        <w:tc>
          <w:tcPr>
            <w:tcW w:type="dxa" w:w="2268"/>
            <w:vAlign w:val="top"/>
            <w:shd w:fill="F1F6F5"/>
          </w:tcPr>
          <w:p>
            <w:pPr>
              <w:spacing w:after="30" w:before="30" w:line="247" w:lineRule="auto"/>
            </w:pPr>
            <w:r>
              <w:rPr>
                <w:color w:val="20313A"/>
                <w:sz w:val="14"/>
              </w:rPr>
              <w:t>Vinamit</w:t>
            </w:r>
          </w:p>
        </w:tc>
        <w:tc>
          <w:tcPr>
            <w:tcW w:type="dxa" w:w="3402"/>
            <w:vAlign w:val="top"/>
            <w:shd w:fill="F1F6F5"/>
          </w:tcPr>
          <w:p>
            <w:pPr>
              <w:spacing w:after="30" w:before="30" w:line="247" w:lineRule="auto"/>
            </w:pPr>
            <w:r>
              <w:rPr>
                <w:color w:val="20313A"/>
                <w:sz w:val="14"/>
              </w:rPr>
              <w:t>Vinamit dried fruit</w:t>
            </w:r>
          </w:p>
        </w:tc>
        <w:tc>
          <w:tcPr>
            <w:tcW w:type="dxa" w:w="3969"/>
            <w:vAlign w:val="top"/>
            <w:shd w:fill="F1F6F5"/>
          </w:tcPr>
          <w:p>
            <w:pPr>
              <w:spacing w:after="30" w:before="30" w:line="247" w:lineRule="auto"/>
            </w:pPr>
            <w:r>
              <w:rPr>
                <w:color w:val="20313A"/>
                <w:sz w:val="14"/>
              </w:rPr>
              <w:t>Dried fruit and seasonal gifting</w:t>
            </w:r>
          </w:p>
        </w:tc>
      </w:tr>
      <w:tr>
        <w:tc>
          <w:tcPr>
            <w:tcW w:type="dxa" w:w="2268"/>
            <w:vAlign w:val="top"/>
          </w:tcPr>
          <w:p>
            <w:pPr>
              <w:spacing w:after="30" w:before="30" w:line="247" w:lineRule="auto"/>
            </w:pPr>
            <w:r>
              <w:rPr>
                <w:color w:val="20313A"/>
                <w:sz w:val="14"/>
              </w:rPr>
              <w:t>Lafooco</w:t>
            </w:r>
          </w:p>
        </w:tc>
        <w:tc>
          <w:tcPr>
            <w:tcW w:type="dxa" w:w="3402"/>
            <w:vAlign w:val="top"/>
          </w:tcPr>
          <w:p>
            <w:pPr>
              <w:spacing w:after="30" w:before="30" w:line="247" w:lineRule="auto"/>
            </w:pPr>
            <w:r>
              <w:rPr>
                <w:color w:val="20313A"/>
                <w:sz w:val="14"/>
              </w:rPr>
              <w:t>Lafooco nuts</w:t>
            </w:r>
          </w:p>
        </w:tc>
        <w:tc>
          <w:tcPr>
            <w:tcW w:type="dxa" w:w="3969"/>
            <w:vAlign w:val="top"/>
          </w:tcPr>
          <w:p>
            <w:pPr>
              <w:spacing w:after="30" w:before="30" w:line="247" w:lineRule="auto"/>
            </w:pPr>
            <w:r>
              <w:rPr>
                <w:color w:val="20313A"/>
                <w:sz w:val="14"/>
              </w:rPr>
              <w:t>Cashews, mixed nuts, gifts</w:t>
            </w:r>
          </w:p>
        </w:tc>
      </w:tr>
      <w:tr>
        <w:tc>
          <w:tcPr>
            <w:tcW w:type="dxa" w:w="2268"/>
            <w:vAlign w:val="top"/>
            <w:shd w:fill="F1F6F5"/>
          </w:tcPr>
          <w:p>
            <w:pPr>
              <w:spacing w:after="30" w:before="30" w:line="247" w:lineRule="auto"/>
            </w:pPr>
            <w:r>
              <w:rPr>
                <w:color w:val="20313A"/>
                <w:sz w:val="14"/>
              </w:rPr>
              <w:t>Saigon Co.op</w:t>
            </w:r>
          </w:p>
        </w:tc>
        <w:tc>
          <w:tcPr>
            <w:tcW w:type="dxa" w:w="3402"/>
            <w:vAlign w:val="top"/>
            <w:shd w:fill="F1F6F5"/>
          </w:tcPr>
          <w:p>
            <w:pPr>
              <w:spacing w:after="30" w:before="30" w:line="247" w:lineRule="auto"/>
            </w:pPr>
            <w:r>
              <w:rPr>
                <w:color w:val="20313A"/>
                <w:sz w:val="14"/>
              </w:rPr>
              <w:t>Co.op products, prepared-food services</w:t>
            </w:r>
          </w:p>
        </w:tc>
        <w:tc>
          <w:tcPr>
            <w:tcW w:type="dxa" w:w="3969"/>
            <w:vAlign w:val="top"/>
            <w:shd w:fill="F1F6F5"/>
          </w:tcPr>
          <w:p>
            <w:pPr>
              <w:spacing w:after="30" w:before="30" w:line="247" w:lineRule="auto"/>
            </w:pPr>
            <w:r>
              <w:rPr>
                <w:color w:val="20313A"/>
                <w:sz w:val="14"/>
              </w:rPr>
              <w:t>Ready ritual assortments and meal trays</w:t>
            </w:r>
          </w:p>
        </w:tc>
      </w:tr>
    </w:tbl>
    <w:p>
      <w:pPr>
        <w:spacing w:after="0"/>
      </w:pPr>
    </w:p>
    <w:p>
      <w:pPr>
        <w:pStyle w:val="Heading1"/>
      </w:pPr>
      <w:r>
        <w:t>9. Strategic reading of the category landscape</w:t>
      </w:r>
    </w:p>
    <w:p>
      <w:pPr>
        <w:pStyle w:val="Heading2"/>
      </w:pPr>
      <w:r>
        <w:t>Battleground 1 | Branded beverages and the ceremonial display</w:t>
      </w:r>
    </w:p>
    <w:p>
      <w:pPr/>
      <w:r>
        <w:t>Coca-Cola and some other FMCG drinks have genuine photographed evidence of direct Tết altar presence, but the robust broad market ranking is about household purchasing rather than worship. Separate traditional tea/water offering occasions from more elaborate annual and folk ceremonial displays.</w:t>
      </w:r>
    </w:p>
    <w:p>
      <w:pPr>
        <w:pStyle w:val="Heading2"/>
      </w:pPr>
      <w:r>
        <w:t>Battleground 2 | Packaged cakes and confectionery</w:t>
      </w:r>
    </w:p>
    <w:p>
      <w:pPr/>
      <w:r>
        <w:t>Orion, Kinh Đô, Bibica and Hữu Nghị have broad product breadth across year-round snacks, annual festivals and family sharing. Bibica’s official 2026 Tết catalogue provides granular proof of tins, gifting boxes and prosperity-themed confectionery.</w:t>
      </w:r>
    </w:p>
    <w:p>
      <w:pPr>
        <w:pStyle w:val="Heading2"/>
      </w:pPr>
      <w:r>
        <w:t>Battleground 3 | Ceremonial and ready-prepared meals</w:t>
      </w:r>
    </w:p>
    <w:p>
      <w:pPr/>
      <w:r>
        <w:t>This landscape is shared by national processed-food brands, wet markets, traditional prepared-food businesses and supermarkets. Saigon Co.op’s meal-tray services show that this need can be packaged into a directly occasion-specific retail proposition.</w:t>
      </w:r>
    </w:p>
    <w:p>
      <w:pPr>
        <w:pStyle w:val="Heading2"/>
      </w:pPr>
      <w:r>
        <w:t>Battleground 4 | Vegetarian foods around Buddhist festivals</w:t>
      </w:r>
    </w:p>
    <w:p>
      <w:pPr/>
      <w:r>
        <w:t>The commercial universe includes fresh local vegetarian dish specialists, supermarkets, tofu and mushroom suppliers, and convenience-food brands. Inference must remain disciplined: a widely sold vegetarian instant noodle is not automatically an altar offering, although it may be part of associated food consumption.</w:t>
      </w:r>
    </w:p>
    <w:p>
      <w:pPr>
        <w:pStyle w:val="Heading2"/>
      </w:pPr>
      <w:r>
        <w:t>Battleground 5 | Mooncakes, fruit, nuts and seasonal gifting</w:t>
      </w:r>
    </w:p>
    <w:p>
      <w:pPr/>
      <w:r>
        <w:t>A more fragmented competition set. Established mooncake manufacturers are highly visible, while fresh fruit, traditional cakes and ceremonial specialties frequently rely on independent and regional businesses. Gift consumption and ritual usage overlap but are not synonymous.</w:t>
      </w:r>
    </w:p>
    <w:p>
      <w:pPr>
        <w:pStyle w:val="Heading1"/>
      </w:pPr>
      <w:r>
        <w:t>10. Verified source and photography reference directory</w:t>
      </w:r>
    </w:p>
    <w:p>
      <w:pPr/>
      <w:r>
        <w:t>The original web articles below include actual photographs of offerings or real manufacturer product imagery. The illustrations embedded in this report are original analytical graphics rather than republished third-party photos. Use the source links for documentary reference and image licensing/permissions if reproducing photographs externally.</w:t>
      </w:r>
    </w:p>
    <w:p>
      <w:pPr>
        <w:pStyle w:val="SmallText"/>
      </w:pPr>
      <w:r>
        <w:t xml:space="preserve">01.  VietnamPlus | Photograph of Coca-Cola on a Tết ancestor altar | February 2026 — </w:t>
      </w:r>
      <w:hyperlink r:id="rId13">
        <w:r>
          <w:rPr>
            <w:color w:val="166E72"/>
            <w:u w:val="single"/>
          </w:rPr>
          <w:t>Open</w:t>
        </w:r>
      </w:hyperlink>
    </w:p>
    <w:p>
      <w:pPr>
        <w:pStyle w:val="SmallText"/>
      </w:pPr>
      <w:r>
        <w:t xml:space="preserve">02.  Vietnam Beer–Alcohol–Beverage Association | Branded offerings photograph | February 2026 — </w:t>
      </w:r>
      <w:hyperlink r:id="rId14">
        <w:r>
          <w:rPr>
            <w:color w:val="166E72"/>
            <w:u w:val="single"/>
          </w:rPr>
          <w:t>Open</w:t>
        </w:r>
      </w:hyperlink>
    </w:p>
    <w:p>
      <w:pPr>
        <w:pStyle w:val="SmallText"/>
      </w:pPr>
      <w:r>
        <w:t xml:space="preserve">03.  Vietnam Pictorial / VNA | Traditional Tết ancestral altar photograph | February 2026 — </w:t>
      </w:r>
      <w:hyperlink r:id="rId26">
        <w:r>
          <w:rPr>
            <w:color w:val="166E72"/>
            <w:u w:val="single"/>
          </w:rPr>
          <w:t>Open</w:t>
        </w:r>
      </w:hyperlink>
    </w:p>
    <w:p>
      <w:pPr>
        <w:pStyle w:val="SmallText"/>
      </w:pPr>
      <w:r>
        <w:t xml:space="preserve">04.  VietnamPlus | Hanoi Vu Lan prepared offerings and delivery | August 2026 — </w:t>
      </w:r>
      <w:hyperlink r:id="rId23">
        <w:r>
          <w:rPr>
            <w:color w:val="166E72"/>
            <w:u w:val="single"/>
          </w:rPr>
          <w:t>Open</w:t>
        </w:r>
      </w:hyperlink>
    </w:p>
    <w:p>
      <w:pPr>
        <w:pStyle w:val="SmallText"/>
      </w:pPr>
      <w:r>
        <w:t xml:space="preserve">05.  Saigon Co.op | Ready ancestral offering trays | January 2025 — </w:t>
      </w:r>
      <w:hyperlink r:id="rId15">
        <w:r>
          <w:rPr>
            <w:color w:val="166E72"/>
            <w:u w:val="single"/>
          </w:rPr>
          <w:t>Open</w:t>
        </w:r>
      </w:hyperlink>
    </w:p>
    <w:p>
      <w:pPr>
        <w:pStyle w:val="SmallText"/>
      </w:pPr>
      <w:r>
        <w:t xml:space="preserve">06.  Saigon Co.op | Ready tam sên and ancestral sets | December 2024 — </w:t>
      </w:r>
      <w:hyperlink r:id="rId21">
        <w:r>
          <w:rPr>
            <w:color w:val="166E72"/>
            <w:u w:val="single"/>
          </w:rPr>
          <w:t>Open</w:t>
        </w:r>
      </w:hyperlink>
    </w:p>
    <w:p>
      <w:pPr>
        <w:pStyle w:val="SmallText"/>
      </w:pPr>
      <w:r>
        <w:t xml:space="preserve">07.  Orion Vina | Official ChocoPie Tết Watermelon gift product — </w:t>
      </w:r>
      <w:hyperlink r:id="rId19">
        <w:r>
          <w:rPr>
            <w:color w:val="166E72"/>
            <w:u w:val="single"/>
          </w:rPr>
          <w:t>Open</w:t>
        </w:r>
      </w:hyperlink>
    </w:p>
    <w:p>
      <w:pPr>
        <w:pStyle w:val="SmallText"/>
      </w:pPr>
      <w:r>
        <w:t xml:space="preserve">08.  Bibica | Official 2026 Tết cookies and confectionery catalogue — </w:t>
      </w:r>
      <w:hyperlink r:id="rId20">
        <w:r>
          <w:rPr>
            <w:color w:val="166E72"/>
            <w:u w:val="single"/>
          </w:rPr>
          <w:t>Open</w:t>
        </w:r>
      </w:hyperlink>
    </w:p>
    <w:p>
      <w:pPr>
        <w:pStyle w:val="SmallText"/>
      </w:pPr>
      <w:r>
        <w:t xml:space="preserve">09.  Worldpanel | Vietnam Brand Footprint 2025 — </w:t>
      </w:r>
      <w:hyperlink r:id="rId18">
        <w:r>
          <w:rPr>
            <w:color w:val="166E72"/>
            <w:u w:val="single"/>
          </w:rPr>
          <w:t>Open</w:t>
        </w:r>
      </w:hyperlink>
    </w:p>
    <w:p>
      <w:pPr>
        <w:pStyle w:val="SmallText"/>
      </w:pPr>
      <w:r>
        <w:t xml:space="preserve">10.  Kantar Worldpanel | Vietnam beverage brands 2023 — </w:t>
      </w:r>
      <w:hyperlink r:id="rId17">
        <w:r>
          <w:rPr>
            <w:color w:val="166E72"/>
            <w:u w:val="single"/>
          </w:rPr>
          <w:t>Open</w:t>
        </w:r>
      </w:hyperlink>
    </w:p>
    <w:p>
      <w:pPr>
        <w:pStyle w:val="SmallText"/>
      </w:pPr>
      <w:r>
        <w:t xml:space="preserve">11.  Vietnam Beverage Association | Tết 2026 beverage assortments and brand packs — </w:t>
      </w:r>
      <w:hyperlink r:id="rId27">
        <w:r>
          <w:rPr>
            <w:color w:val="166E72"/>
            <w:u w:val="single"/>
          </w:rPr>
          <w:t>Open</w:t>
        </w:r>
      </w:hyperlink>
    </w:p>
    <w:p>
      <w:pPr>
        <w:pStyle w:val="SmallText"/>
      </w:pPr>
      <w:r>
        <w:t xml:space="preserve">12.  Regional offerings / giỗ meal preparation imagery | Điện Máy Xanh — </w:t>
      </w:r>
      <w:hyperlink r:id="rId28">
        <w:r>
          <w:rPr>
            <w:color w:val="166E72"/>
            <w:u w:val="single"/>
          </w:rPr>
          <w:t>Open</w:t>
        </w:r>
      </w:hyperlink>
    </w:p>
    <w:p>
      <w:pPr>
        <w:pStyle w:val="SmallText"/>
      </w:pPr>
      <w:r>
        <w:t xml:space="preserve">13.  Vu Lan illustrative vegetarian feast photo | FPT Shop — </w:t>
      </w:r>
      <w:hyperlink r:id="rId29">
        <w:r>
          <w:rPr>
            <w:color w:val="166E72"/>
            <w:u w:val="single"/>
          </w:rPr>
          <w:t>Open</w:t>
        </w:r>
      </w:hyperlink>
    </w:p>
    <w:p>
      <w:pPr>
        <w:pStyle w:val="SmallText"/>
      </w:pPr>
      <w:r>
        <w:t xml:space="preserve">14.  Givral 2026 | Available seasonal catalogue via distributor — </w:t>
      </w:r>
      <w:hyperlink r:id="rId30">
        <w:r>
          <w:rPr>
            <w:color w:val="166E72"/>
            <w:u w:val="single"/>
          </w:rPr>
          <w:t>Open</w:t>
        </w:r>
      </w:hyperlink>
    </w:p>
    <w:p>
      <w:pPr>
        <w:pStyle w:val="Heading1"/>
      </w:pPr>
      <w:r>
        <w:t>11. Quick-reference: products to track by occasion</w:t>
      </w:r>
    </w:p>
    <w:p>
      <w:pPr/>
      <w:r>
        <w:t>This practical reference separates products photographed in ceremonies or explicitly sold as ritual solutions from brands whose category portfolio makes them relevant but whose ritual use has not been independently measured.</w:t>
      </w:r>
    </w:p>
    <w:tbl>
      <w:tblPr>
        <w:tblW w:type="auto" w:w="0"/>
        <w:jc w:val="center"/>
        <w:tblLayout w:type="fixed"/>
        <w:tblLook w:firstColumn="1" w:firstRow="1" w:lastColumn="0" w:lastRow="0" w:noHBand="0" w:noVBand="1" w:val="04A0"/>
      </w:tblPr>
      <w:tblGrid>
        <w:gridCol w:w="1417"/>
        <w:gridCol w:w="1928"/>
        <w:gridCol w:w="3628"/>
        <w:gridCol w:w="2665"/>
      </w:tblGrid>
      <w:tr>
        <w:trPr>
          <w:tblHeader w:val="true"/>
        </w:trPr>
        <w:tc>
          <w:tcPr>
            <w:tcW w:type="dxa" w:w="1417"/>
            <w:shd w:fill="153342"/>
            <w:vAlign w:val="center"/>
          </w:tcPr>
          <w:p>
            <w:pPr>
              <w:spacing w:after="40"/>
            </w:pPr>
            <w:r>
              <w:rPr>
                <w:b/>
                <w:color w:val="FFFFFF"/>
                <w:sz w:val="13"/>
              </w:rPr>
              <w:t>Occasion</w:t>
            </w:r>
          </w:p>
        </w:tc>
        <w:tc>
          <w:tcPr>
            <w:tcW w:type="dxa" w:w="1928"/>
            <w:shd w:fill="153342"/>
            <w:vAlign w:val="center"/>
          </w:tcPr>
          <w:p>
            <w:pPr>
              <w:spacing w:after="40"/>
            </w:pPr>
            <w:r>
              <w:rPr>
                <w:b/>
                <w:color w:val="FFFFFF"/>
                <w:sz w:val="13"/>
              </w:rPr>
              <w:t>Brand / supplier</w:t>
            </w:r>
          </w:p>
        </w:tc>
        <w:tc>
          <w:tcPr>
            <w:tcW w:type="dxa" w:w="3628"/>
            <w:shd w:fill="153342"/>
            <w:vAlign w:val="center"/>
          </w:tcPr>
          <w:p>
            <w:pPr>
              <w:spacing w:after="40"/>
            </w:pPr>
            <w:r>
              <w:rPr>
                <w:b/>
                <w:color w:val="FFFFFF"/>
                <w:sz w:val="13"/>
              </w:rPr>
              <w:t>Named product or assortment</w:t>
            </w:r>
          </w:p>
        </w:tc>
        <w:tc>
          <w:tcPr>
            <w:tcW w:type="dxa" w:w="2665"/>
            <w:shd w:fill="153342"/>
            <w:vAlign w:val="center"/>
          </w:tcPr>
          <w:p>
            <w:pPr>
              <w:spacing w:after="40"/>
            </w:pPr>
            <w:r>
              <w:rPr>
                <w:b/>
                <w:color w:val="FFFFFF"/>
                <w:sz w:val="13"/>
              </w:rPr>
              <w:t>Evidence designation</w:t>
            </w:r>
          </w:p>
        </w:tc>
      </w:tr>
      <w:tr>
        <w:tc>
          <w:tcPr>
            <w:tcW w:type="dxa" w:w="1417"/>
            <w:vAlign w:val="top"/>
            <w:shd w:fill="F1F6F5"/>
          </w:tcPr>
          <w:p>
            <w:pPr>
              <w:spacing w:after="30" w:before="30" w:line="247" w:lineRule="auto"/>
            </w:pPr>
            <w:r>
              <w:rPr>
                <w:color w:val="20313A"/>
                <w:sz w:val="13"/>
              </w:rPr>
              <w:t>Tết altar</w:t>
            </w:r>
          </w:p>
        </w:tc>
        <w:tc>
          <w:tcPr>
            <w:tcW w:type="dxa" w:w="1928"/>
            <w:vAlign w:val="top"/>
            <w:shd w:fill="F1F6F5"/>
          </w:tcPr>
          <w:p>
            <w:pPr>
              <w:spacing w:after="30" w:before="30" w:line="247" w:lineRule="auto"/>
            </w:pPr>
            <w:r>
              <w:rPr>
                <w:color w:val="20313A"/>
                <w:sz w:val="13"/>
              </w:rPr>
              <w:t>Coca-Cola</w:t>
            </w:r>
          </w:p>
        </w:tc>
        <w:tc>
          <w:tcPr>
            <w:tcW w:type="dxa" w:w="3628"/>
            <w:vAlign w:val="top"/>
            <w:shd w:fill="F1F6F5"/>
          </w:tcPr>
          <w:p>
            <w:pPr>
              <w:spacing w:after="30" w:before="30" w:line="247" w:lineRule="auto"/>
            </w:pPr>
            <w:r>
              <w:rPr>
                <w:color w:val="20313A"/>
                <w:sz w:val="13"/>
              </w:rPr>
              <w:t>Coca-Cola red canned beverage</w:t>
            </w:r>
          </w:p>
        </w:tc>
        <w:tc>
          <w:tcPr>
            <w:tcW w:type="dxa" w:w="2665"/>
            <w:vAlign w:val="top"/>
            <w:shd w:fill="F1F6F5"/>
          </w:tcPr>
          <w:p>
            <w:pPr>
              <w:spacing w:after="30" w:before="30" w:line="247" w:lineRule="auto"/>
            </w:pPr>
            <w:r>
              <w:rPr>
                <w:color w:val="20313A"/>
                <w:sz w:val="13"/>
              </w:rPr>
              <w:t>Observed in published altar photograph</w:t>
            </w:r>
          </w:p>
        </w:tc>
      </w:tr>
      <w:tr>
        <w:tc>
          <w:tcPr>
            <w:tcW w:type="dxa" w:w="1417"/>
            <w:vAlign w:val="top"/>
          </w:tcPr>
          <w:p>
            <w:pPr>
              <w:spacing w:after="30" w:before="30" w:line="247" w:lineRule="auto"/>
            </w:pPr>
            <w:r>
              <w:rPr>
                <w:color w:val="20313A"/>
                <w:sz w:val="13"/>
              </w:rPr>
              <w:t>Tết altar</w:t>
            </w:r>
          </w:p>
        </w:tc>
        <w:tc>
          <w:tcPr>
            <w:tcW w:type="dxa" w:w="1928"/>
            <w:vAlign w:val="top"/>
          </w:tcPr>
          <w:p>
            <w:pPr>
              <w:spacing w:after="30" w:before="30" w:line="247" w:lineRule="auto"/>
            </w:pPr>
            <w:r>
              <w:rPr>
                <w:color w:val="20313A"/>
                <w:sz w:val="13"/>
              </w:rPr>
              <w:t>Orion / assorted packaged snacks</w:t>
            </w:r>
          </w:p>
        </w:tc>
        <w:tc>
          <w:tcPr>
            <w:tcW w:type="dxa" w:w="3628"/>
            <w:vAlign w:val="top"/>
          </w:tcPr>
          <w:p>
            <w:pPr>
              <w:spacing w:after="30" w:before="30" w:line="247" w:lineRule="auto"/>
            </w:pPr>
            <w:r>
              <w:rPr>
                <w:color w:val="20313A"/>
                <w:sz w:val="13"/>
              </w:rPr>
              <w:t>ChocoPie, Gouté-type packaged cakes</w:t>
            </w:r>
          </w:p>
        </w:tc>
        <w:tc>
          <w:tcPr>
            <w:tcW w:type="dxa" w:w="2665"/>
            <w:vAlign w:val="top"/>
          </w:tcPr>
          <w:p>
            <w:pPr>
              <w:spacing w:after="30" w:before="30" w:line="247" w:lineRule="auto"/>
            </w:pPr>
            <w:r>
              <w:rPr>
                <w:color w:val="20313A"/>
                <w:sz w:val="13"/>
              </w:rPr>
              <w:t>Product category / photographed historical example</w:t>
            </w:r>
          </w:p>
        </w:tc>
      </w:tr>
      <w:tr>
        <w:tc>
          <w:tcPr>
            <w:tcW w:type="dxa" w:w="1417"/>
            <w:vAlign w:val="top"/>
            <w:shd w:fill="F1F6F5"/>
          </w:tcPr>
          <w:p>
            <w:pPr>
              <w:spacing w:after="30" w:before="30" w:line="247" w:lineRule="auto"/>
            </w:pPr>
            <w:r>
              <w:rPr>
                <w:color w:val="20313A"/>
                <w:sz w:val="13"/>
              </w:rPr>
              <w:t>Tết altar</w:t>
            </w:r>
          </w:p>
        </w:tc>
        <w:tc>
          <w:tcPr>
            <w:tcW w:type="dxa" w:w="1928"/>
            <w:vAlign w:val="top"/>
            <w:shd w:fill="F1F6F5"/>
          </w:tcPr>
          <w:p>
            <w:pPr>
              <w:spacing w:after="30" w:before="30" w:line="247" w:lineRule="auto"/>
            </w:pPr>
            <w:r>
              <w:rPr>
                <w:color w:val="20313A"/>
                <w:sz w:val="13"/>
              </w:rPr>
              <w:t>Fanta, G7, Saigon Chill, Trúc Bạch</w:t>
            </w:r>
          </w:p>
        </w:tc>
        <w:tc>
          <w:tcPr>
            <w:tcW w:type="dxa" w:w="3628"/>
            <w:vAlign w:val="top"/>
            <w:shd w:fill="F1F6F5"/>
          </w:tcPr>
          <w:p>
            <w:pPr>
              <w:spacing w:after="30" w:before="30" w:line="247" w:lineRule="auto"/>
            </w:pPr>
            <w:r>
              <w:rPr>
                <w:color w:val="20313A"/>
                <w:sz w:val="13"/>
              </w:rPr>
              <w:t>Branded cans and coffee packs</w:t>
            </w:r>
          </w:p>
        </w:tc>
        <w:tc>
          <w:tcPr>
            <w:tcW w:type="dxa" w:w="2665"/>
            <w:vAlign w:val="top"/>
            <w:shd w:fill="F1F6F5"/>
          </w:tcPr>
          <w:p>
            <w:pPr>
              <w:spacing w:after="30" w:before="30" w:line="247" w:lineRule="auto"/>
            </w:pPr>
            <w:r>
              <w:rPr>
                <w:color w:val="20313A"/>
                <w:sz w:val="13"/>
              </w:rPr>
              <w:t>Observed in published 2026 ceremony image</w:t>
            </w:r>
          </w:p>
        </w:tc>
      </w:tr>
      <w:tr>
        <w:tc>
          <w:tcPr>
            <w:tcW w:type="dxa" w:w="1417"/>
            <w:vAlign w:val="top"/>
          </w:tcPr>
          <w:p>
            <w:pPr>
              <w:spacing w:after="30" w:before="30" w:line="247" w:lineRule="auto"/>
            </w:pPr>
            <w:r>
              <w:rPr>
                <w:color w:val="20313A"/>
                <w:sz w:val="13"/>
              </w:rPr>
              <w:t>Tết gift/hosting</w:t>
            </w:r>
          </w:p>
        </w:tc>
        <w:tc>
          <w:tcPr>
            <w:tcW w:type="dxa" w:w="1928"/>
            <w:vAlign w:val="top"/>
          </w:tcPr>
          <w:p>
            <w:pPr>
              <w:spacing w:after="30" w:before="30" w:line="247" w:lineRule="auto"/>
            </w:pPr>
            <w:r>
              <w:rPr>
                <w:color w:val="20313A"/>
                <w:sz w:val="13"/>
              </w:rPr>
              <w:t>Orion</w:t>
            </w:r>
          </w:p>
        </w:tc>
        <w:tc>
          <w:tcPr>
            <w:tcW w:type="dxa" w:w="3628"/>
            <w:vAlign w:val="top"/>
          </w:tcPr>
          <w:p>
            <w:pPr>
              <w:spacing w:after="30" w:before="30" w:line="247" w:lineRule="auto"/>
            </w:pPr>
            <w:r>
              <w:rPr>
                <w:color w:val="20313A"/>
                <w:sz w:val="13"/>
              </w:rPr>
              <w:t>ChocoPie Watermelon Tết 16-piece, 448 g</w:t>
            </w:r>
          </w:p>
        </w:tc>
        <w:tc>
          <w:tcPr>
            <w:tcW w:type="dxa" w:w="2665"/>
            <w:vAlign w:val="top"/>
          </w:tcPr>
          <w:p>
            <w:pPr>
              <w:spacing w:after="30" w:before="30" w:line="247" w:lineRule="auto"/>
            </w:pPr>
            <w:r>
              <w:rPr>
                <w:color w:val="20313A"/>
                <w:sz w:val="13"/>
              </w:rPr>
              <w:t>Verified official seasonal product</w:t>
            </w:r>
          </w:p>
        </w:tc>
      </w:tr>
      <w:tr>
        <w:tc>
          <w:tcPr>
            <w:tcW w:type="dxa" w:w="1417"/>
            <w:vAlign w:val="top"/>
            <w:shd w:fill="F1F6F5"/>
          </w:tcPr>
          <w:p>
            <w:pPr>
              <w:spacing w:after="30" w:before="30" w:line="247" w:lineRule="auto"/>
            </w:pPr>
            <w:r>
              <w:rPr>
                <w:color w:val="20313A"/>
                <w:sz w:val="13"/>
              </w:rPr>
              <w:t>Tết gifting</w:t>
            </w:r>
          </w:p>
        </w:tc>
        <w:tc>
          <w:tcPr>
            <w:tcW w:type="dxa" w:w="1928"/>
            <w:vAlign w:val="top"/>
            <w:shd w:fill="F1F6F5"/>
          </w:tcPr>
          <w:p>
            <w:pPr>
              <w:spacing w:after="30" w:before="30" w:line="247" w:lineRule="auto"/>
            </w:pPr>
            <w:r>
              <w:rPr>
                <w:color w:val="20313A"/>
                <w:sz w:val="13"/>
              </w:rPr>
              <w:t>Bibica</w:t>
            </w:r>
          </w:p>
        </w:tc>
        <w:tc>
          <w:tcPr>
            <w:tcW w:type="dxa" w:w="3628"/>
            <w:vAlign w:val="top"/>
            <w:shd w:fill="F1F6F5"/>
          </w:tcPr>
          <w:p>
            <w:pPr>
              <w:spacing w:after="30" w:before="30" w:line="247" w:lineRule="auto"/>
            </w:pPr>
            <w:r>
              <w:rPr>
                <w:color w:val="20313A"/>
                <w:sz w:val="13"/>
              </w:rPr>
              <w:t>Goody Classic cookie tins</w:t>
            </w:r>
          </w:p>
        </w:tc>
        <w:tc>
          <w:tcPr>
            <w:tcW w:type="dxa" w:w="2665"/>
            <w:vAlign w:val="top"/>
            <w:shd w:fill="F1F6F5"/>
          </w:tcPr>
          <w:p>
            <w:pPr>
              <w:spacing w:after="30" w:before="30" w:line="247" w:lineRule="auto"/>
            </w:pPr>
            <w:r>
              <w:rPr>
                <w:color w:val="20313A"/>
                <w:sz w:val="13"/>
              </w:rPr>
              <w:t>Verified official 2026 portfolio</w:t>
            </w:r>
          </w:p>
        </w:tc>
      </w:tr>
      <w:tr>
        <w:tc>
          <w:tcPr>
            <w:tcW w:type="dxa" w:w="1417"/>
            <w:vAlign w:val="top"/>
          </w:tcPr>
          <w:p>
            <w:pPr>
              <w:spacing w:after="30" w:before="30" w:line="247" w:lineRule="auto"/>
            </w:pPr>
            <w:r>
              <w:rPr>
                <w:color w:val="20313A"/>
                <w:sz w:val="13"/>
              </w:rPr>
              <w:t>Tết sweets</w:t>
            </w:r>
          </w:p>
        </w:tc>
        <w:tc>
          <w:tcPr>
            <w:tcW w:type="dxa" w:w="1928"/>
            <w:vAlign w:val="top"/>
          </w:tcPr>
          <w:p>
            <w:pPr>
              <w:spacing w:after="30" w:before="30" w:line="247" w:lineRule="auto"/>
            </w:pPr>
            <w:r>
              <w:rPr>
                <w:color w:val="20313A"/>
                <w:sz w:val="13"/>
              </w:rPr>
              <w:t>Bibica</w:t>
            </w:r>
          </w:p>
        </w:tc>
        <w:tc>
          <w:tcPr>
            <w:tcW w:type="dxa" w:w="3628"/>
            <w:vAlign w:val="top"/>
          </w:tcPr>
          <w:p>
            <w:pPr>
              <w:spacing w:after="30" w:before="30" w:line="247" w:lineRule="auto"/>
            </w:pPr>
            <w:r>
              <w:rPr>
                <w:color w:val="20313A"/>
                <w:sz w:val="13"/>
              </w:rPr>
              <w:t>Cheery candy, Phát Tài candy</w:t>
            </w:r>
          </w:p>
        </w:tc>
        <w:tc>
          <w:tcPr>
            <w:tcW w:type="dxa" w:w="2665"/>
            <w:vAlign w:val="top"/>
          </w:tcPr>
          <w:p>
            <w:pPr>
              <w:spacing w:after="30" w:before="30" w:line="247" w:lineRule="auto"/>
            </w:pPr>
            <w:r>
              <w:rPr>
                <w:color w:val="20313A"/>
                <w:sz w:val="13"/>
              </w:rPr>
              <w:t>Verified official 2026 portfolio</w:t>
            </w:r>
          </w:p>
        </w:tc>
      </w:tr>
      <w:tr>
        <w:tc>
          <w:tcPr>
            <w:tcW w:type="dxa" w:w="1417"/>
            <w:vAlign w:val="top"/>
            <w:shd w:fill="F1F6F5"/>
          </w:tcPr>
          <w:p>
            <w:pPr>
              <w:spacing w:after="30" w:before="30" w:line="247" w:lineRule="auto"/>
            </w:pPr>
            <w:r>
              <w:rPr>
                <w:color w:val="20313A"/>
                <w:sz w:val="13"/>
              </w:rPr>
              <w:t>Tết ancestral meal</w:t>
            </w:r>
          </w:p>
        </w:tc>
        <w:tc>
          <w:tcPr>
            <w:tcW w:type="dxa" w:w="1928"/>
            <w:vAlign w:val="top"/>
            <w:shd w:fill="F1F6F5"/>
          </w:tcPr>
          <w:p>
            <w:pPr>
              <w:spacing w:after="30" w:before="30" w:line="247" w:lineRule="auto"/>
            </w:pPr>
            <w:r>
              <w:rPr>
                <w:color w:val="20313A"/>
                <w:sz w:val="13"/>
              </w:rPr>
              <w:t>Saigon Co.op</w:t>
            </w:r>
          </w:p>
        </w:tc>
        <w:tc>
          <w:tcPr>
            <w:tcW w:type="dxa" w:w="3628"/>
            <w:vAlign w:val="top"/>
            <w:shd w:fill="F1F6F5"/>
          </w:tcPr>
          <w:p>
            <w:pPr>
              <w:spacing w:after="30" w:before="30" w:line="247" w:lineRule="auto"/>
            </w:pPr>
            <w:r>
              <w:rPr>
                <w:color w:val="20313A"/>
                <w:sz w:val="13"/>
              </w:rPr>
              <w:t>Ready ancestor meal tray, vegetarian/savoury</w:t>
            </w:r>
          </w:p>
        </w:tc>
        <w:tc>
          <w:tcPr>
            <w:tcW w:type="dxa" w:w="2665"/>
            <w:vAlign w:val="top"/>
            <w:shd w:fill="F1F6F5"/>
          </w:tcPr>
          <w:p>
            <w:pPr>
              <w:spacing w:after="30" w:before="30" w:line="247" w:lineRule="auto"/>
            </w:pPr>
            <w:r>
              <w:rPr>
                <w:color w:val="20313A"/>
                <w:sz w:val="13"/>
              </w:rPr>
              <w:t>Verified occasion-specific retail offer, 2025</w:t>
            </w:r>
          </w:p>
        </w:tc>
      </w:tr>
      <w:tr>
        <w:tc>
          <w:tcPr>
            <w:tcW w:type="dxa" w:w="1417"/>
            <w:vAlign w:val="top"/>
          </w:tcPr>
          <w:p>
            <w:pPr>
              <w:spacing w:after="30" w:before="30" w:line="247" w:lineRule="auto"/>
            </w:pPr>
            <w:r>
              <w:rPr>
                <w:color w:val="20313A"/>
                <w:sz w:val="13"/>
              </w:rPr>
              <w:t>Thần Tài</w:t>
            </w:r>
          </w:p>
        </w:tc>
        <w:tc>
          <w:tcPr>
            <w:tcW w:type="dxa" w:w="1928"/>
            <w:vAlign w:val="top"/>
          </w:tcPr>
          <w:p>
            <w:pPr>
              <w:spacing w:after="30" w:before="30" w:line="247" w:lineRule="auto"/>
            </w:pPr>
            <w:r>
              <w:rPr>
                <w:color w:val="20313A"/>
                <w:sz w:val="13"/>
              </w:rPr>
              <w:t>Saigon Co.op</w:t>
            </w:r>
          </w:p>
        </w:tc>
        <w:tc>
          <w:tcPr>
            <w:tcW w:type="dxa" w:w="3628"/>
            <w:vAlign w:val="top"/>
          </w:tcPr>
          <w:p>
            <w:pPr>
              <w:spacing w:after="30" w:before="30" w:line="247" w:lineRule="auto"/>
            </w:pPr>
            <w:r>
              <w:rPr>
                <w:color w:val="20313A"/>
                <w:sz w:val="13"/>
              </w:rPr>
              <w:t>Ready tam sên assortment</w:t>
            </w:r>
          </w:p>
        </w:tc>
        <w:tc>
          <w:tcPr>
            <w:tcW w:type="dxa" w:w="2665"/>
            <w:vAlign w:val="top"/>
          </w:tcPr>
          <w:p>
            <w:pPr>
              <w:spacing w:after="30" w:before="30" w:line="247" w:lineRule="auto"/>
            </w:pPr>
            <w:r>
              <w:rPr>
                <w:color w:val="20313A"/>
                <w:sz w:val="13"/>
              </w:rPr>
              <w:t>Verified occasion-specific retail assortment</w:t>
            </w:r>
          </w:p>
        </w:tc>
      </w:tr>
      <w:tr>
        <w:tc>
          <w:tcPr>
            <w:tcW w:type="dxa" w:w="1417"/>
            <w:vAlign w:val="top"/>
            <w:shd w:fill="F1F6F5"/>
          </w:tcPr>
          <w:p>
            <w:pPr>
              <w:spacing w:after="30" w:before="30" w:line="247" w:lineRule="auto"/>
            </w:pPr>
            <w:r>
              <w:rPr>
                <w:color w:val="20313A"/>
                <w:sz w:val="13"/>
              </w:rPr>
              <w:t>Giỗ meal</w:t>
            </w:r>
          </w:p>
        </w:tc>
        <w:tc>
          <w:tcPr>
            <w:tcW w:type="dxa" w:w="1928"/>
            <w:vAlign w:val="top"/>
            <w:shd w:fill="F1F6F5"/>
          </w:tcPr>
          <w:p>
            <w:pPr>
              <w:spacing w:after="30" w:before="30" w:line="247" w:lineRule="auto"/>
            </w:pPr>
            <w:r>
              <w:rPr>
                <w:color w:val="20313A"/>
                <w:sz w:val="13"/>
              </w:rPr>
              <w:t>Vissan / Cầu Tre</w:t>
            </w:r>
          </w:p>
        </w:tc>
        <w:tc>
          <w:tcPr>
            <w:tcW w:type="dxa" w:w="3628"/>
            <w:vAlign w:val="top"/>
            <w:shd w:fill="F1F6F5"/>
          </w:tcPr>
          <w:p>
            <w:pPr>
              <w:spacing w:after="30" w:before="30" w:line="247" w:lineRule="auto"/>
            </w:pPr>
            <w:r>
              <w:rPr>
                <w:color w:val="20313A"/>
                <w:sz w:val="13"/>
              </w:rPr>
              <w:t>Chả lụa, chả giò, processed foods</w:t>
            </w:r>
          </w:p>
        </w:tc>
        <w:tc>
          <w:tcPr>
            <w:tcW w:type="dxa" w:w="2665"/>
            <w:vAlign w:val="top"/>
            <w:shd w:fill="F1F6F5"/>
          </w:tcPr>
          <w:p>
            <w:pPr>
              <w:spacing w:after="30" w:before="30" w:line="247" w:lineRule="auto"/>
            </w:pPr>
            <w:r>
              <w:rPr>
                <w:color w:val="20313A"/>
                <w:sz w:val="13"/>
              </w:rPr>
              <w:t>Category-relevant product candidate</w:t>
            </w:r>
          </w:p>
        </w:tc>
      </w:tr>
      <w:tr>
        <w:tc>
          <w:tcPr>
            <w:tcW w:type="dxa" w:w="1417"/>
            <w:vAlign w:val="top"/>
          </w:tcPr>
          <w:p>
            <w:pPr>
              <w:spacing w:after="30" w:before="30" w:line="247" w:lineRule="auto"/>
            </w:pPr>
            <w:r>
              <w:rPr>
                <w:color w:val="20313A"/>
                <w:sz w:val="13"/>
              </w:rPr>
              <w:t>Rằm / monthly</w:t>
            </w:r>
          </w:p>
        </w:tc>
        <w:tc>
          <w:tcPr>
            <w:tcW w:type="dxa" w:w="1928"/>
            <w:vAlign w:val="top"/>
          </w:tcPr>
          <w:p>
            <w:pPr>
              <w:spacing w:after="30" w:before="30" w:line="247" w:lineRule="auto"/>
            </w:pPr>
            <w:r>
              <w:rPr>
                <w:color w:val="20313A"/>
                <w:sz w:val="13"/>
              </w:rPr>
              <w:t>Aquafina / La Vie</w:t>
            </w:r>
          </w:p>
        </w:tc>
        <w:tc>
          <w:tcPr>
            <w:tcW w:type="dxa" w:w="3628"/>
            <w:vAlign w:val="top"/>
          </w:tcPr>
          <w:p>
            <w:pPr>
              <w:spacing w:after="30" w:before="30" w:line="247" w:lineRule="auto"/>
            </w:pPr>
            <w:r>
              <w:rPr>
                <w:color w:val="20313A"/>
                <w:sz w:val="13"/>
              </w:rPr>
              <w:t>Still drinking-water bottles</w:t>
            </w:r>
          </w:p>
        </w:tc>
        <w:tc>
          <w:tcPr>
            <w:tcW w:type="dxa" w:w="2665"/>
            <w:vAlign w:val="top"/>
          </w:tcPr>
          <w:p>
            <w:pPr>
              <w:spacing w:after="30" w:before="30" w:line="247" w:lineRule="auto"/>
            </w:pPr>
            <w:r>
              <w:rPr>
                <w:color w:val="20313A"/>
                <w:sz w:val="13"/>
              </w:rPr>
              <w:t>Category-relevant product candidate</w:t>
            </w:r>
          </w:p>
        </w:tc>
      </w:tr>
      <w:tr>
        <w:tc>
          <w:tcPr>
            <w:tcW w:type="dxa" w:w="1417"/>
            <w:vAlign w:val="top"/>
            <w:shd w:fill="F1F6F5"/>
          </w:tcPr>
          <w:p>
            <w:pPr>
              <w:spacing w:after="30" w:before="30" w:line="247" w:lineRule="auto"/>
            </w:pPr>
            <w:r>
              <w:rPr>
                <w:color w:val="20313A"/>
                <w:sz w:val="13"/>
              </w:rPr>
              <w:t>Vu Lan</w:t>
            </w:r>
          </w:p>
        </w:tc>
        <w:tc>
          <w:tcPr>
            <w:tcW w:type="dxa" w:w="1928"/>
            <w:vAlign w:val="top"/>
            <w:shd w:fill="F1F6F5"/>
          </w:tcPr>
          <w:p>
            <w:pPr>
              <w:spacing w:after="30" w:before="30" w:line="247" w:lineRule="auto"/>
            </w:pPr>
            <w:r>
              <w:rPr>
                <w:color w:val="20313A"/>
                <w:sz w:val="13"/>
              </w:rPr>
              <w:t>Local vegetarian specialists</w:t>
            </w:r>
          </w:p>
        </w:tc>
        <w:tc>
          <w:tcPr>
            <w:tcW w:type="dxa" w:w="3628"/>
            <w:vAlign w:val="top"/>
            <w:shd w:fill="F1F6F5"/>
          </w:tcPr>
          <w:p>
            <w:pPr>
              <w:spacing w:after="30" w:before="30" w:line="247" w:lineRule="auto"/>
            </w:pPr>
            <w:r>
              <w:rPr>
                <w:color w:val="20313A"/>
                <w:sz w:val="13"/>
              </w:rPr>
              <w:t>Prepared vegetarian offering trays</w:t>
            </w:r>
          </w:p>
        </w:tc>
        <w:tc>
          <w:tcPr>
            <w:tcW w:type="dxa" w:w="2665"/>
            <w:vAlign w:val="top"/>
            <w:shd w:fill="F1F6F5"/>
          </w:tcPr>
          <w:p>
            <w:pPr>
              <w:spacing w:after="30" w:before="30" w:line="247" w:lineRule="auto"/>
            </w:pPr>
            <w:r>
              <w:rPr>
                <w:color w:val="20313A"/>
                <w:sz w:val="13"/>
              </w:rPr>
              <w:t>Documented category demand; fragmented suppliers</w:t>
            </w:r>
          </w:p>
        </w:tc>
      </w:tr>
      <w:tr>
        <w:tc>
          <w:tcPr>
            <w:tcW w:type="dxa" w:w="1417"/>
            <w:vAlign w:val="top"/>
          </w:tcPr>
          <w:p>
            <w:pPr>
              <w:spacing w:after="30" w:before="30" w:line="247" w:lineRule="auto"/>
            </w:pPr>
            <w:r>
              <w:rPr>
                <w:color w:val="20313A"/>
                <w:sz w:val="13"/>
              </w:rPr>
              <w:t>Vu Lan home eating</w:t>
            </w:r>
          </w:p>
        </w:tc>
        <w:tc>
          <w:tcPr>
            <w:tcW w:type="dxa" w:w="1928"/>
            <w:vAlign w:val="top"/>
          </w:tcPr>
          <w:p>
            <w:pPr>
              <w:spacing w:after="30" w:before="30" w:line="247" w:lineRule="auto"/>
            </w:pPr>
            <w:r>
              <w:rPr>
                <w:color w:val="20313A"/>
                <w:sz w:val="13"/>
              </w:rPr>
              <w:t>Vifon / Hảo Hảo</w:t>
            </w:r>
          </w:p>
        </w:tc>
        <w:tc>
          <w:tcPr>
            <w:tcW w:type="dxa" w:w="3628"/>
            <w:vAlign w:val="top"/>
          </w:tcPr>
          <w:p>
            <w:pPr>
              <w:spacing w:after="30" w:before="30" w:line="247" w:lineRule="auto"/>
            </w:pPr>
            <w:r>
              <w:rPr>
                <w:color w:val="20313A"/>
                <w:sz w:val="13"/>
              </w:rPr>
              <w:t>Vegetarian noodles / mushroom pho</w:t>
            </w:r>
          </w:p>
        </w:tc>
        <w:tc>
          <w:tcPr>
            <w:tcW w:type="dxa" w:w="2665"/>
            <w:vAlign w:val="top"/>
          </w:tcPr>
          <w:p>
            <w:pPr>
              <w:spacing w:after="30" w:before="30" w:line="247" w:lineRule="auto"/>
            </w:pPr>
            <w:r>
              <w:rPr>
                <w:color w:val="20313A"/>
                <w:sz w:val="13"/>
              </w:rPr>
              <w:t>Adjacent consumption, not confirmed offering</w:t>
            </w:r>
          </w:p>
        </w:tc>
      </w:tr>
      <w:tr>
        <w:tc>
          <w:tcPr>
            <w:tcW w:type="dxa" w:w="1417"/>
            <w:vAlign w:val="top"/>
            <w:shd w:fill="F1F6F5"/>
          </w:tcPr>
          <w:p>
            <w:pPr>
              <w:spacing w:after="30" w:before="30" w:line="247" w:lineRule="auto"/>
            </w:pPr>
            <w:r>
              <w:rPr>
                <w:color w:val="20313A"/>
                <w:sz w:val="13"/>
              </w:rPr>
              <w:t>Trung Thu</w:t>
            </w:r>
          </w:p>
        </w:tc>
        <w:tc>
          <w:tcPr>
            <w:tcW w:type="dxa" w:w="1928"/>
            <w:vAlign w:val="top"/>
            <w:shd w:fill="F1F6F5"/>
          </w:tcPr>
          <w:p>
            <w:pPr>
              <w:spacing w:after="30" w:before="30" w:line="247" w:lineRule="auto"/>
            </w:pPr>
            <w:r>
              <w:rPr>
                <w:color w:val="20313A"/>
                <w:sz w:val="13"/>
              </w:rPr>
              <w:t>Kinh Đô / Bibica</w:t>
            </w:r>
          </w:p>
        </w:tc>
        <w:tc>
          <w:tcPr>
            <w:tcW w:type="dxa" w:w="3628"/>
            <w:vAlign w:val="top"/>
            <w:shd w:fill="F1F6F5"/>
          </w:tcPr>
          <w:p>
            <w:pPr>
              <w:spacing w:after="30" w:before="30" w:line="247" w:lineRule="auto"/>
            </w:pPr>
            <w:r>
              <w:rPr>
                <w:color w:val="20313A"/>
                <w:sz w:val="13"/>
              </w:rPr>
              <w:t>Baked and soft mooncakes</w:t>
            </w:r>
          </w:p>
        </w:tc>
        <w:tc>
          <w:tcPr>
            <w:tcW w:type="dxa" w:w="2665"/>
            <w:vAlign w:val="top"/>
            <w:shd w:fill="F1F6F5"/>
          </w:tcPr>
          <w:p>
            <w:pPr>
              <w:spacing w:after="30" w:before="30" w:line="247" w:lineRule="auto"/>
            </w:pPr>
            <w:r>
              <w:rPr>
                <w:color w:val="20313A"/>
                <w:sz w:val="13"/>
              </w:rPr>
              <w:t>Occasion category leadership candidates</w:t>
            </w:r>
          </w:p>
        </w:tc>
      </w:tr>
      <w:tr>
        <w:tc>
          <w:tcPr>
            <w:tcW w:type="dxa" w:w="1417"/>
            <w:vAlign w:val="top"/>
          </w:tcPr>
          <w:p>
            <w:pPr>
              <w:spacing w:after="30" w:before="30" w:line="247" w:lineRule="auto"/>
            </w:pPr>
            <w:r>
              <w:rPr>
                <w:color w:val="20313A"/>
                <w:sz w:val="13"/>
              </w:rPr>
              <w:t>Trung Thu, HCMC</w:t>
            </w:r>
          </w:p>
        </w:tc>
        <w:tc>
          <w:tcPr>
            <w:tcW w:type="dxa" w:w="1928"/>
            <w:vAlign w:val="top"/>
          </w:tcPr>
          <w:p>
            <w:pPr>
              <w:spacing w:after="30" w:before="30" w:line="247" w:lineRule="auto"/>
            </w:pPr>
            <w:r>
              <w:rPr>
                <w:color w:val="20313A"/>
                <w:sz w:val="13"/>
              </w:rPr>
              <w:t>Givral / Brodard / Như Lan</w:t>
            </w:r>
          </w:p>
        </w:tc>
        <w:tc>
          <w:tcPr>
            <w:tcW w:type="dxa" w:w="3628"/>
            <w:vAlign w:val="top"/>
          </w:tcPr>
          <w:p>
            <w:pPr>
              <w:spacing w:after="30" w:before="30" w:line="247" w:lineRule="auto"/>
            </w:pPr>
            <w:r>
              <w:rPr>
                <w:color w:val="20313A"/>
                <w:sz w:val="13"/>
              </w:rPr>
              <w:t>Traditional and premium mooncake gift boxes</w:t>
            </w:r>
          </w:p>
        </w:tc>
        <w:tc>
          <w:tcPr>
            <w:tcW w:type="dxa" w:w="2665"/>
            <w:vAlign w:val="top"/>
          </w:tcPr>
          <w:p>
            <w:pPr>
              <w:spacing w:after="30" w:before="30" w:line="247" w:lineRule="auto"/>
            </w:pPr>
            <w:r>
              <w:rPr>
                <w:color w:val="20313A"/>
                <w:sz w:val="13"/>
              </w:rPr>
              <w:t>Established local brands / broader seasonal trade</w:t>
            </w:r>
          </w:p>
        </w:tc>
      </w:tr>
    </w:tbl>
    <w:p>
      <w:pPr>
        <w:spacing w:after="0"/>
      </w:pPr>
    </w:p>
    <w:p>
      <w:pPr>
        <w:pStyle w:val="Heading1"/>
      </w:pPr>
      <w:r>
        <w:t>Interpretive safeguards / limitations</w:t>
      </w:r>
    </w:p>
    <w:p>
      <w:pPr>
        <w:ind w:left="283" w:hanging="130"/>
      </w:pPr>
      <w:r>
        <w:rPr>
          <w:b/>
        </w:rPr>
        <w:t xml:space="preserve">•  </w:t>
      </w:r>
      <w:r>
        <w:t>No public source reviewed establishes a national share-of-offering ranking for Coca-Cola, Orion, Kinh Đô or other major brands; reported broader category leadership must not be relabelled as religious-occasion leadership.</w:t>
      </w:r>
    </w:p>
    <w:p>
      <w:pPr>
        <w:ind w:left="283" w:hanging="130"/>
      </w:pPr>
      <w:r>
        <w:rPr>
          <w:b/>
        </w:rPr>
        <w:t xml:space="preserve">•  </w:t>
      </w:r>
      <w:r>
        <w:t>Ritual practice varies among Buddhism, ancestor worship and folk-deity offerings, across regions and households. Meat and alcoholic drinks do not belong in an undifferentiated “Buddhist offerings” assortment.</w:t>
      </w:r>
    </w:p>
    <w:p>
      <w:pPr>
        <w:ind w:left="283" w:hanging="130"/>
      </w:pPr>
      <w:r>
        <w:rPr>
          <w:b/>
        </w:rPr>
        <w:t xml:space="preserve">•  </w:t>
      </w:r>
      <w:r>
        <w:t>Some listed categories are adjacent to ritual activity rather than altar-displayed products: cooking ingredients, dairy, vegetarian convenience foods and most festive hospitality purchases.</w:t>
      </w:r>
    </w:p>
    <w:p>
      <w:pPr>
        <w:ind w:left="283" w:hanging="130"/>
      </w:pPr>
      <w:r>
        <w:rPr>
          <w:b/>
        </w:rPr>
        <w:t xml:space="preserve">•  </w:t>
      </w:r>
      <w:r>
        <w:t>The heatmap is a structured qualitative assessment; it is not quantitative share, sales, weighted distribution, incidence, or ranking data.</w:t>
      </w:r>
    </w:p>
    <w:p>
      <w:pPr>
        <w:ind w:left="283" w:hanging="130"/>
      </w:pPr>
      <w:r>
        <w:rPr>
          <w:b/>
        </w:rPr>
        <w:t xml:space="preserve">•  </w:t>
      </w:r>
      <w:r>
        <w:t>Brand and product examples indicate market participation or availability at the time of research; individual SKUs and seasonal packaging may change.</w:t>
      </w:r>
    </w:p>
    <w:sectPr w:rsidR="00FC693F" w:rsidRPr="0006063C" w:rsidSect="00034616">
      <w:headerReference w:type="default" r:id="rId9"/>
      <w:footerReference w:type="default" r:id="rId10"/>
      <w:pgSz w:w="11906" w:h="16838"/>
      <w:pgMar w:top="1049" w:right="1049" w:bottom="97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737B"/>
        <w:sz w:val="14"/>
      </w:rPr>
      <w:t xml:space="preserve">VIETNAM WORSHIP × FMCG  ·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jc w:val="right"/>
    </w:pPr>
    <w:r>
      <w:t>CONSENSYS AI   /   VIETNAM FMCG CATEGORY INTELLIGENCE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ptos" w:hAnsi="Aptos"/>
      <w:color w:val="20313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153342"/>
      <w:sz w:val="30"/>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Aptos" w:hAnsi="Aptos"/>
      <w:b/>
      <w:bCs/>
      <w:color w:val="166E72"/>
      <w:sz w:val="23"/>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15334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5334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Text"/>
    <w:pPr>
      <w:spacing w:after="80"/>
    </w:pPr>
    <w:rPr>
      <w:rFonts w:ascii="Aptos" w:hAnsi="Aptos"/>
      <w:color w:val="60737B"/>
      <w:sz w:val="14"/>
    </w:rPr>
  </w:style>
  <w:style w:type="paragraph" w:customStyle="1" w:styleId="Eyebrow">
    <w:name w:val="Eyebrow"/>
    <w:pPr>
      <w:spacing w:after="220"/>
    </w:pPr>
    <w:rPr>
      <w:rFonts w:ascii="Aptos" w:hAnsi="Aptos"/>
      <w:b/>
      <w:color w:val="166E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vietnamplus.vn/tho-cung-to-tien-ngay-tet-nep-nha-gin-giu-qua-bao-the-he-post1088974.vnp" TargetMode="External"/><Relationship Id="rId14" Type="http://schemas.openxmlformats.org/officeDocument/2006/relationships/hyperlink" Target="https://vba.com.vn/truyen-thong-do-uong-va-chieu-sau-van-hoa-tet-viet.html" TargetMode="External"/><Relationship Id="rId15" Type="http://schemas.openxmlformats.org/officeDocument/2006/relationships/hyperlink" Target="https://tphcm.baochinhphu.vn/chuong-trinh-den-coop-cho-tet-ve-khoi-dong-tai-800-diem-ban-tren-toan-quoc-101250115140439278.htm" TargetMode="External"/><Relationship Id="rId16" Type="http://schemas.openxmlformats.org/officeDocument/2006/relationships/image" Target="media/image3.png"/><Relationship Id="rId17" Type="http://schemas.openxmlformats.org/officeDocument/2006/relationships/hyperlink" Target="https://www.kantarworldpanel.com/vn/news/vietnam-brand-footprint-2023" TargetMode="External"/><Relationship Id="rId18" Type="http://schemas.openxmlformats.org/officeDocument/2006/relationships/hyperlink" Target="https://worldpanelbynumerator.com/insights/vietnam-brand-footprint-2025" TargetMode="External"/><Relationship Id="rId19" Type="http://schemas.openxmlformats.org/officeDocument/2006/relationships/hyperlink" Target="https://orion.vn/san-pham/san-pham/hop-qua-tang-chocopie-dua-hau-tet/" TargetMode="External"/><Relationship Id="rId20" Type="http://schemas.openxmlformats.org/officeDocument/2006/relationships/hyperlink" Target="https://www.bibica.com.vn/tet" TargetMode="External"/><Relationship Id="rId21" Type="http://schemas.openxmlformats.org/officeDocument/2006/relationships/hyperlink" Target="https://ubmttq.hochiminhcity.gov.vn/tin-tuc/chitiet/6853/saigon-coop-chinh-thuc-buoc-vao-mua-kinh-doanh-tet-at-ty-2025" TargetMode="External"/><Relationship Id="rId22" Type="http://schemas.openxmlformats.org/officeDocument/2006/relationships/image" Target="media/image4.png"/><Relationship Id="rId23" Type="http://schemas.openxmlformats.org/officeDocument/2006/relationships/hyperlink" Target="https://en.vietnamplus.vn/vu-lan-market-sees-strong-demand-for-vegetarian-offerings-online-services-post350736.vnp" TargetMode="External"/><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hyperlink" Target="https://vietnam.vnanet.vn/vietnamese/tin-tuc/nhung-phong-tuc-van-hoa-dep-ngay-tet-nguyen-dan-cua-nguoi-viet-429377.html" TargetMode="External"/><Relationship Id="rId27" Type="http://schemas.openxmlformats.org/officeDocument/2006/relationships/hyperlink" Target="https://vba.com.vn/thi-truong-do-uong-tet-2026-da-sac-thai-trong-mua-tieu-dung-moi.html" TargetMode="External"/><Relationship Id="rId28" Type="http://schemas.openxmlformats.org/officeDocument/2006/relationships/hyperlink" Target="https://www.dienmayxanh.com/vao-bep/cach-bay-mam-com-cung-gio-le-vat-van-khan-va-goi-y-mam-com-24350" TargetMode="External"/><Relationship Id="rId29" Type="http://schemas.openxmlformats.org/officeDocument/2006/relationships/hyperlink" Target="https://fptshop.com.vn/tin-tuc/dien-may/cach-lam-co-chay-ram-thang-7-168032" TargetMode="External"/><Relationship Id="rId30" Type="http://schemas.openxmlformats.org/officeDocument/2006/relationships/hyperlink" Target="https://givral.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Vietnam Worship &amp; Ritual Offerings: FMCG Categories, Brands &amp; Products</dc:title>
  <dc:subject>Illustrated FMCG category and occasion competitive intelligence Vietnam 2026</dc:subject>
  <dc:creator>Consensys AI — Category Intelligence</dc:creator>
  <cp:keywords/>
  <dc:description>generated by python-docx</dc:description>
  <cp:lastModifiedBy/>
  <cp:revision>1</cp:revision>
  <dcterms:created xsi:type="dcterms:W3CDTF">2013-12-23T23:15:00Z</dcterms:created>
  <dcterms:modified xsi:type="dcterms:W3CDTF">2013-12-23T23:15:00Z</dcterms:modified>
  <cp:category/>
</cp:coreProperties>
</file>